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CDCEF" w14:textId="423FFE98" w:rsidR="00D23262" w:rsidRDefault="0039562E" w:rsidP="0039562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39562E">
        <w:rPr>
          <w:b/>
          <w:bCs/>
          <w:sz w:val="36"/>
          <w:szCs w:val="36"/>
        </w:rPr>
        <w:t>TOP 10 příkladů</w:t>
      </w:r>
      <w:r w:rsidR="00BE0A0D">
        <w:rPr>
          <w:b/>
          <w:bCs/>
          <w:sz w:val="36"/>
          <w:szCs w:val="36"/>
        </w:rPr>
        <w:t xml:space="preserve"> k novele zákona o dani </w:t>
      </w:r>
      <w:r w:rsidRPr="0039562E">
        <w:rPr>
          <w:b/>
          <w:bCs/>
          <w:sz w:val="36"/>
          <w:szCs w:val="36"/>
        </w:rPr>
        <w:t>z</w:t>
      </w:r>
      <w:r>
        <w:rPr>
          <w:b/>
          <w:bCs/>
          <w:sz w:val="36"/>
          <w:szCs w:val="36"/>
        </w:rPr>
        <w:t> </w:t>
      </w:r>
      <w:r w:rsidRPr="0039562E">
        <w:rPr>
          <w:b/>
          <w:bCs/>
          <w:sz w:val="36"/>
          <w:szCs w:val="36"/>
        </w:rPr>
        <w:t>nemovitých věcí na r. 2024</w:t>
      </w:r>
    </w:p>
    <w:p w14:paraId="7C7EFD25" w14:textId="058A3FCD" w:rsidR="00D03D3A" w:rsidRDefault="00F03FEE" w:rsidP="002E0FDC">
      <w:pPr>
        <w:spacing w:line="280" w:lineRule="exact"/>
        <w:jc w:val="both"/>
        <w:rPr>
          <w:rFonts w:ascii="Arial" w:hAnsi="Arial" w:cs="Arial"/>
        </w:rPr>
      </w:pPr>
      <w:r w:rsidRPr="002E0FDC">
        <w:rPr>
          <w:rFonts w:ascii="Arial" w:hAnsi="Arial" w:cs="Arial"/>
        </w:rPr>
        <w:t xml:space="preserve">Daňové přiznání na r. 2024 je poplatník povinen podat do 31.1.2024. Daňové přiznání </w:t>
      </w:r>
      <w:r w:rsidR="002E0FDC">
        <w:rPr>
          <w:rFonts w:ascii="Arial" w:hAnsi="Arial" w:cs="Arial"/>
        </w:rPr>
        <w:t xml:space="preserve">subjekt </w:t>
      </w:r>
      <w:r w:rsidRPr="002E0FDC">
        <w:rPr>
          <w:rFonts w:ascii="Arial" w:hAnsi="Arial" w:cs="Arial"/>
        </w:rPr>
        <w:t>nepodává</w:t>
      </w:r>
      <w:r w:rsidR="002E0FDC">
        <w:rPr>
          <w:rFonts w:ascii="Arial" w:hAnsi="Arial" w:cs="Arial"/>
        </w:rPr>
        <w:t>,</w:t>
      </w:r>
      <w:r w:rsidRPr="002E0FDC">
        <w:rPr>
          <w:rFonts w:ascii="Arial" w:hAnsi="Arial" w:cs="Arial"/>
        </w:rPr>
        <w:t xml:space="preserve"> pokud </w:t>
      </w:r>
      <w:r w:rsidR="002E0FDC">
        <w:rPr>
          <w:rFonts w:ascii="Arial" w:hAnsi="Arial" w:cs="Arial"/>
        </w:rPr>
        <w:t xml:space="preserve">oproti předchozímu roku </w:t>
      </w:r>
      <w:r w:rsidRPr="002E0FDC">
        <w:rPr>
          <w:rFonts w:ascii="Arial" w:hAnsi="Arial" w:cs="Arial"/>
        </w:rPr>
        <w:t>nedošlo</w:t>
      </w:r>
      <w:r w:rsidR="00CF0D4B">
        <w:rPr>
          <w:rFonts w:ascii="Arial" w:hAnsi="Arial" w:cs="Arial"/>
        </w:rPr>
        <w:t xml:space="preserve"> </w:t>
      </w:r>
      <w:r w:rsidRPr="002E0FDC">
        <w:rPr>
          <w:rFonts w:ascii="Arial" w:hAnsi="Arial" w:cs="Arial"/>
        </w:rPr>
        <w:t xml:space="preserve">ke změně okolností rozhodných pro </w:t>
      </w:r>
      <w:r w:rsidR="00785118">
        <w:rPr>
          <w:rFonts w:ascii="Arial" w:hAnsi="Arial" w:cs="Arial"/>
        </w:rPr>
        <w:t xml:space="preserve">stanovení </w:t>
      </w:r>
      <w:r w:rsidRPr="002E0FDC">
        <w:rPr>
          <w:rFonts w:ascii="Arial" w:hAnsi="Arial" w:cs="Arial"/>
        </w:rPr>
        <w:t xml:space="preserve">daně, popř. ke změně poplatníka daně. </w:t>
      </w:r>
      <w:r w:rsidRPr="002E0FDC">
        <w:rPr>
          <w:rFonts w:ascii="Arial" w:hAnsi="Arial" w:cs="Arial"/>
          <w:b/>
          <w:bCs/>
        </w:rPr>
        <w:t>Z novely účinné od 1.1.2024 vyplýv</w:t>
      </w:r>
      <w:r w:rsidR="002E0FDC" w:rsidRPr="002E0FDC">
        <w:rPr>
          <w:rFonts w:ascii="Arial" w:hAnsi="Arial" w:cs="Arial"/>
          <w:b/>
          <w:bCs/>
        </w:rPr>
        <w:t>aj</w:t>
      </w:r>
      <w:r w:rsidRPr="002E0FDC">
        <w:rPr>
          <w:rFonts w:ascii="Arial" w:hAnsi="Arial" w:cs="Arial"/>
          <w:b/>
          <w:bCs/>
        </w:rPr>
        <w:t xml:space="preserve">í okolnosti, které budou mít dopad </w:t>
      </w:r>
      <w:r w:rsidR="002E0FDC">
        <w:rPr>
          <w:rFonts w:ascii="Arial" w:hAnsi="Arial" w:cs="Arial"/>
          <w:b/>
          <w:bCs/>
        </w:rPr>
        <w:t>na výši</w:t>
      </w:r>
      <w:r w:rsidRPr="002E0FDC">
        <w:rPr>
          <w:rFonts w:ascii="Arial" w:hAnsi="Arial" w:cs="Arial"/>
          <w:b/>
          <w:bCs/>
        </w:rPr>
        <w:t xml:space="preserve"> daně</w:t>
      </w:r>
      <w:r w:rsidR="002E0FDC">
        <w:rPr>
          <w:rFonts w:ascii="Arial" w:hAnsi="Arial" w:cs="Arial"/>
          <w:b/>
          <w:bCs/>
        </w:rPr>
        <w:t xml:space="preserve"> </w:t>
      </w:r>
      <w:r w:rsidR="00D03D3A">
        <w:rPr>
          <w:rFonts w:ascii="Arial" w:hAnsi="Arial" w:cs="Arial"/>
          <w:b/>
          <w:bCs/>
        </w:rPr>
        <w:t xml:space="preserve">(zejména </w:t>
      </w:r>
      <w:r w:rsidR="002E0FDC">
        <w:rPr>
          <w:rFonts w:ascii="Arial" w:hAnsi="Arial" w:cs="Arial"/>
          <w:b/>
          <w:bCs/>
        </w:rPr>
        <w:t xml:space="preserve">ve vazbě na </w:t>
      </w:r>
      <w:r w:rsidR="00D03D3A">
        <w:rPr>
          <w:rFonts w:ascii="Arial" w:hAnsi="Arial" w:cs="Arial"/>
          <w:b/>
          <w:bCs/>
        </w:rPr>
        <w:t>změnu ur</w:t>
      </w:r>
      <w:r w:rsidR="002E0FDC">
        <w:rPr>
          <w:rFonts w:ascii="Arial" w:hAnsi="Arial" w:cs="Arial"/>
          <w:b/>
          <w:bCs/>
        </w:rPr>
        <w:t>čení předmětu daně</w:t>
      </w:r>
      <w:r w:rsidR="00D03D3A">
        <w:rPr>
          <w:rFonts w:ascii="Arial" w:hAnsi="Arial" w:cs="Arial"/>
          <w:b/>
          <w:bCs/>
        </w:rPr>
        <w:t>)</w:t>
      </w:r>
      <w:r w:rsidRPr="002E0FDC">
        <w:rPr>
          <w:rFonts w:ascii="Arial" w:hAnsi="Arial" w:cs="Arial"/>
          <w:b/>
          <w:bCs/>
        </w:rPr>
        <w:t xml:space="preserve"> a </w:t>
      </w:r>
      <w:r w:rsidR="002E0FDC" w:rsidRPr="002E0FDC">
        <w:rPr>
          <w:rFonts w:ascii="Arial" w:hAnsi="Arial" w:cs="Arial"/>
          <w:b/>
          <w:bCs/>
        </w:rPr>
        <w:t xml:space="preserve">které </w:t>
      </w:r>
      <w:r w:rsidRPr="002E0FDC">
        <w:rPr>
          <w:rFonts w:ascii="Arial" w:hAnsi="Arial" w:cs="Arial"/>
          <w:b/>
          <w:bCs/>
        </w:rPr>
        <w:t>jsou podmíněny podáním daňového přiznání na r. 2024 poplatníkem</w:t>
      </w:r>
      <w:r w:rsidR="002E0FDC" w:rsidRPr="002E0FDC">
        <w:rPr>
          <w:rFonts w:ascii="Arial" w:hAnsi="Arial" w:cs="Arial"/>
          <w:b/>
          <w:bCs/>
        </w:rPr>
        <w:t xml:space="preserve">, </w:t>
      </w:r>
      <w:r w:rsidR="002E0FDC">
        <w:rPr>
          <w:rFonts w:ascii="Arial" w:hAnsi="Arial" w:cs="Arial"/>
          <w:b/>
          <w:bCs/>
        </w:rPr>
        <w:t xml:space="preserve">ale </w:t>
      </w:r>
      <w:r w:rsidR="002E0FDC" w:rsidRPr="002E0FDC">
        <w:rPr>
          <w:rFonts w:ascii="Arial" w:hAnsi="Arial" w:cs="Arial"/>
          <w:b/>
          <w:bCs/>
        </w:rPr>
        <w:t>tak</w:t>
      </w:r>
      <w:r w:rsidR="002E0FDC">
        <w:rPr>
          <w:rFonts w:ascii="Arial" w:hAnsi="Arial" w:cs="Arial"/>
          <w:b/>
          <w:bCs/>
        </w:rPr>
        <w:t>é</w:t>
      </w:r>
      <w:r w:rsidR="002E0FDC" w:rsidRPr="002E0FDC">
        <w:rPr>
          <w:rFonts w:ascii="Arial" w:hAnsi="Arial" w:cs="Arial"/>
          <w:b/>
          <w:bCs/>
        </w:rPr>
        <w:t xml:space="preserve"> okolnosti, o které upraví daň správce daně bez součinnosti s poplatníkem.</w:t>
      </w:r>
      <w:r w:rsidR="002E0FDC">
        <w:rPr>
          <w:rFonts w:ascii="Arial" w:hAnsi="Arial" w:cs="Arial"/>
        </w:rPr>
        <w:t xml:space="preserve">  </w:t>
      </w:r>
    </w:p>
    <w:p w14:paraId="19014D40" w14:textId="2251BF10" w:rsidR="00436660" w:rsidRDefault="002E0FDC" w:rsidP="002E0FDC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přehled změn</w:t>
      </w:r>
      <w:r w:rsidR="00024AD3">
        <w:rPr>
          <w:rFonts w:ascii="Arial" w:hAnsi="Arial" w:cs="Arial"/>
        </w:rPr>
        <w:t xml:space="preserve"> u stávajících poplatníků</w:t>
      </w:r>
      <w:r w:rsidR="00263703">
        <w:rPr>
          <w:rFonts w:ascii="Arial" w:hAnsi="Arial" w:cs="Arial"/>
        </w:rPr>
        <w:t xml:space="preserve"> na r. 2024</w:t>
      </w:r>
      <w:r w:rsidR="00785118">
        <w:rPr>
          <w:rFonts w:ascii="Arial" w:hAnsi="Arial" w:cs="Arial"/>
        </w:rPr>
        <w:t>, které vyplývají z novely zákona o dani z nemovitých věcí</w:t>
      </w:r>
      <w:r>
        <w:rPr>
          <w:rFonts w:ascii="Arial" w:hAnsi="Arial" w:cs="Arial"/>
        </w:rPr>
        <w:t>:</w:t>
      </w:r>
      <w:r w:rsidRPr="002E0FDC">
        <w:rPr>
          <w:rFonts w:ascii="Arial" w:hAnsi="Arial" w:cs="Arial"/>
        </w:rPr>
        <w:t xml:space="preserve"> </w:t>
      </w:r>
    </w:p>
    <w:tbl>
      <w:tblPr>
        <w:tblStyle w:val="Mkatabulky"/>
        <w:tblW w:w="14979" w:type="dxa"/>
        <w:tblInd w:w="-289" w:type="dxa"/>
        <w:tblLook w:val="04A0" w:firstRow="1" w:lastRow="0" w:firstColumn="1" w:lastColumn="0" w:noHBand="0" w:noVBand="1"/>
      </w:tblPr>
      <w:tblGrid>
        <w:gridCol w:w="7286"/>
        <w:gridCol w:w="236"/>
        <w:gridCol w:w="7457"/>
      </w:tblGrid>
      <w:tr w:rsidR="00EF3619" w:rsidRPr="00180185" w14:paraId="02724094" w14:textId="77777777" w:rsidTr="00E36EC5">
        <w:tc>
          <w:tcPr>
            <w:tcW w:w="7286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C5B8D0D" w14:textId="77777777" w:rsidR="00EF3619" w:rsidRPr="00180185" w:rsidRDefault="00EF3619" w:rsidP="00EF3619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2E74B5" w:themeColor="accent5" w:themeShade="BF"/>
              </w:rPr>
            </w:pPr>
          </w:p>
          <w:p w14:paraId="5F3F361D" w14:textId="01173FC7" w:rsidR="00EF3619" w:rsidRPr="00180185" w:rsidRDefault="00263703" w:rsidP="00EF3619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 xml:space="preserve">Změny důvodné pro podání </w:t>
            </w:r>
            <w:r w:rsidR="00EF3619">
              <w:rPr>
                <w:rFonts w:ascii="Arial" w:hAnsi="Arial" w:cs="Arial"/>
                <w:b/>
                <w:bCs/>
                <w:color w:val="C00000"/>
              </w:rPr>
              <w:t>daňové</w:t>
            </w:r>
            <w:r>
              <w:rPr>
                <w:rFonts w:ascii="Arial" w:hAnsi="Arial" w:cs="Arial"/>
                <w:b/>
                <w:bCs/>
                <w:color w:val="C00000"/>
              </w:rPr>
              <w:t>ho</w:t>
            </w:r>
            <w:r w:rsidR="00EF3619">
              <w:rPr>
                <w:rFonts w:ascii="Arial" w:hAnsi="Arial" w:cs="Arial"/>
                <w:b/>
                <w:bCs/>
                <w:color w:val="C00000"/>
              </w:rPr>
              <w:t xml:space="preserve"> přiznání </w:t>
            </w:r>
            <w:r>
              <w:rPr>
                <w:rFonts w:ascii="Arial" w:hAnsi="Arial" w:cs="Arial"/>
                <w:b/>
                <w:bCs/>
                <w:color w:val="C00000"/>
              </w:rPr>
              <w:t xml:space="preserve">poplatníkem </w:t>
            </w:r>
          </w:p>
          <w:p w14:paraId="170BE342" w14:textId="77777777" w:rsidR="00EF3619" w:rsidRPr="00180185" w:rsidRDefault="00EF3619" w:rsidP="00EF3619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2E74B5" w:themeColor="accent5" w:themeShade="BF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24F66" w14:textId="77777777" w:rsidR="00EF3619" w:rsidRPr="00180185" w:rsidRDefault="00EF3619" w:rsidP="00EF3619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2E74B5" w:themeColor="accent5" w:themeShade="BF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1A23F5" w14:textId="10FE7F32" w:rsidR="00EF3619" w:rsidRPr="00180185" w:rsidRDefault="00EF3619" w:rsidP="00EF3619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2E74B5" w:themeColor="accent5" w:themeShade="BF"/>
              </w:rPr>
            </w:pPr>
          </w:p>
          <w:p w14:paraId="0BE244B3" w14:textId="62F44713" w:rsidR="00EF3619" w:rsidRPr="00180185" w:rsidRDefault="00F64D0D" w:rsidP="00EF3619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2E74B5" w:themeColor="accent5" w:themeShade="BF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 xml:space="preserve">Změny, které zohlední v dani </w:t>
            </w:r>
            <w:r w:rsidR="00EF3619" w:rsidRPr="00180185">
              <w:rPr>
                <w:rFonts w:ascii="Arial" w:hAnsi="Arial" w:cs="Arial"/>
                <w:b/>
                <w:bCs/>
                <w:color w:val="C00000"/>
              </w:rPr>
              <w:t>správc</w:t>
            </w:r>
            <w:r w:rsidR="005B7001">
              <w:rPr>
                <w:rFonts w:ascii="Arial" w:hAnsi="Arial" w:cs="Arial"/>
                <w:b/>
                <w:bCs/>
                <w:color w:val="C00000"/>
              </w:rPr>
              <w:t>e</w:t>
            </w:r>
            <w:r w:rsidR="00EF3619" w:rsidRPr="00180185">
              <w:rPr>
                <w:rFonts w:ascii="Arial" w:hAnsi="Arial" w:cs="Arial"/>
                <w:b/>
                <w:bCs/>
                <w:color w:val="C00000"/>
              </w:rPr>
              <w:t xml:space="preserve"> daně bez součinnosti s DS</w:t>
            </w:r>
          </w:p>
        </w:tc>
      </w:tr>
      <w:tr w:rsidR="00EF3619" w:rsidRPr="00400A50" w14:paraId="359F9291" w14:textId="77777777" w:rsidTr="00EF3619">
        <w:tc>
          <w:tcPr>
            <w:tcW w:w="7286" w:type="dxa"/>
            <w:tcBorders>
              <w:right w:val="single" w:sz="4" w:space="0" w:color="auto"/>
            </w:tcBorders>
          </w:tcPr>
          <w:p w14:paraId="3D403776" w14:textId="77777777" w:rsidR="00EF3619" w:rsidRPr="00E35619" w:rsidRDefault="00EF3619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3561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1. Změna definice stavebního pozemku</w:t>
            </w:r>
          </w:p>
          <w:p w14:paraId="6C3DA7BD" w14:textId="0A1F387A" w:rsidR="00EF3619" w:rsidRPr="00E52FE2" w:rsidRDefault="00EF3619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52FE2">
              <w:rPr>
                <w:rFonts w:ascii="Arial" w:hAnsi="Arial" w:cs="Arial"/>
                <w:sz w:val="20"/>
                <w:szCs w:val="20"/>
              </w:rPr>
              <w:t>távající</w:t>
            </w:r>
            <w:r w:rsidR="00E21160">
              <w:rPr>
                <w:rFonts w:ascii="Arial" w:hAnsi="Arial" w:cs="Arial"/>
                <w:sz w:val="20"/>
                <w:szCs w:val="20"/>
              </w:rPr>
              <w:t>mu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poplatník</w:t>
            </w:r>
            <w:r w:rsidR="00E21160">
              <w:rPr>
                <w:rFonts w:ascii="Arial" w:hAnsi="Arial" w:cs="Arial"/>
                <w:sz w:val="20"/>
                <w:szCs w:val="20"/>
              </w:rPr>
              <w:t>ovi</w:t>
            </w:r>
            <w:r w:rsidR="0058505B">
              <w:rPr>
                <w:rFonts w:ascii="Arial" w:hAnsi="Arial" w:cs="Arial"/>
                <w:sz w:val="20"/>
                <w:szCs w:val="20"/>
              </w:rPr>
              <w:t xml:space="preserve">, kterému nebyla </w:t>
            </w:r>
            <w:r w:rsidRPr="00E52FE2">
              <w:rPr>
                <w:rFonts w:ascii="Arial" w:hAnsi="Arial" w:cs="Arial"/>
                <w:sz w:val="20"/>
                <w:szCs w:val="20"/>
              </w:rPr>
              <w:t>stanovena daň z</w:t>
            </w:r>
            <w:r w:rsidR="0058505B">
              <w:rPr>
                <w:rFonts w:ascii="Arial" w:hAnsi="Arial" w:cs="Arial"/>
                <w:sz w:val="20"/>
                <w:szCs w:val="20"/>
              </w:rPr>
              <w:t>e stavebního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pozemku</w:t>
            </w:r>
            <w:r w:rsidR="0058505B">
              <w:rPr>
                <w:rFonts w:ascii="Arial" w:hAnsi="Arial" w:cs="Arial"/>
                <w:sz w:val="20"/>
                <w:szCs w:val="20"/>
              </w:rPr>
              <w:t xml:space="preserve">, neboť 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stavební úřad povolil stavbu na pozemku již zastavěném zdanitelnou stavbou, </w:t>
            </w:r>
            <w:r w:rsidR="0058505B">
              <w:rPr>
                <w:rFonts w:ascii="Arial" w:hAnsi="Arial" w:cs="Arial"/>
                <w:sz w:val="20"/>
                <w:szCs w:val="20"/>
              </w:rPr>
              <w:t xml:space="preserve">nově vzniká povinnost podat daňové přiznání, neboť podmínka, že jde o pozemek nezastavěný zdanitelnou stavbou, je z vymezení předmětu daně </w:t>
            </w:r>
            <w:r w:rsidR="0054214B">
              <w:rPr>
                <w:rFonts w:ascii="Arial" w:hAnsi="Arial" w:cs="Arial"/>
                <w:sz w:val="20"/>
                <w:szCs w:val="20"/>
              </w:rPr>
              <w:t>u</w:t>
            </w:r>
            <w:r w:rsidR="0058505B">
              <w:rPr>
                <w:rFonts w:ascii="Arial" w:hAnsi="Arial" w:cs="Arial"/>
                <w:sz w:val="20"/>
                <w:szCs w:val="20"/>
              </w:rPr>
              <w:t xml:space="preserve"> stavebního pozemku zrušena.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1214A" w14:textId="77777777" w:rsidR="00EF3619" w:rsidRPr="009A151B" w:rsidRDefault="00EF3619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2CD470FF" w14:textId="652901AE" w:rsidR="00EF3619" w:rsidRPr="005B7001" w:rsidRDefault="00EF3619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A15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Nově předmětem daně z pozemků nejsou rybníky s intenzivním a průmyslovým chovem ryb</w:t>
            </w:r>
            <w:r w:rsidR="005B700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; novela </w:t>
            </w:r>
            <w:r w:rsidR="00956E5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tak </w:t>
            </w:r>
            <w:r w:rsidR="005B700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rozšiřuje</w:t>
            </w:r>
            <w:r w:rsidRPr="005B700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negativní vymezení předmětu daně z pozemků vodních ploch</w:t>
            </w:r>
          </w:p>
          <w:p w14:paraId="1459019D" w14:textId="216DDFE8" w:rsidR="00EF3619" w:rsidRPr="00E52FE2" w:rsidRDefault="00EF3619" w:rsidP="00EF361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B7001">
              <w:rPr>
                <w:rFonts w:ascii="Arial" w:hAnsi="Arial" w:cs="Arial"/>
                <w:sz w:val="20"/>
                <w:szCs w:val="20"/>
              </w:rPr>
              <w:t>U stávajících poplatníků s daní stanovenou z pozemk</w:t>
            </w:r>
            <w:r w:rsidR="005B7001">
              <w:rPr>
                <w:rFonts w:ascii="Arial" w:hAnsi="Arial" w:cs="Arial"/>
                <w:sz w:val="20"/>
                <w:szCs w:val="20"/>
              </w:rPr>
              <w:t>ů</w:t>
            </w:r>
            <w:r w:rsidRPr="005B7001">
              <w:rPr>
                <w:rFonts w:ascii="Arial" w:hAnsi="Arial" w:cs="Arial"/>
                <w:sz w:val="20"/>
                <w:szCs w:val="20"/>
              </w:rPr>
              <w:t xml:space="preserve"> rybník</w:t>
            </w:r>
            <w:r w:rsidR="005B7001">
              <w:rPr>
                <w:rFonts w:ascii="Arial" w:hAnsi="Arial" w:cs="Arial"/>
                <w:sz w:val="20"/>
                <w:szCs w:val="20"/>
              </w:rPr>
              <w:t>ů</w:t>
            </w:r>
            <w:r w:rsidRPr="005B7001">
              <w:rPr>
                <w:rFonts w:ascii="Arial" w:hAnsi="Arial" w:cs="Arial"/>
                <w:sz w:val="20"/>
                <w:szCs w:val="20"/>
              </w:rPr>
              <w:t xml:space="preserve"> s intenzivním a průmyslovým chovem ryb bude úprava daně provedena automatizovaně</w:t>
            </w:r>
            <w:r w:rsidR="00CD6F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1CF1" w:rsidRPr="00400A50" w14:paraId="1DE0218A" w14:textId="77777777" w:rsidTr="00EF3619">
        <w:tc>
          <w:tcPr>
            <w:tcW w:w="7286" w:type="dxa"/>
            <w:tcBorders>
              <w:right w:val="single" w:sz="4" w:space="0" w:color="auto"/>
            </w:tcBorders>
          </w:tcPr>
          <w:p w14:paraId="24375437" w14:textId="77777777" w:rsidR="0058505B" w:rsidRPr="00E35619" w:rsidRDefault="0058505B" w:rsidP="0043432E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3561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2. Změna definice zpevněné plochy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pozemku</w:t>
            </w:r>
          </w:p>
          <w:p w14:paraId="49DBC8AD" w14:textId="4A8CB584" w:rsidR="00FD1CF1" w:rsidRPr="00E35619" w:rsidRDefault="0058505B" w:rsidP="0043432E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52FE2">
              <w:rPr>
                <w:rFonts w:ascii="Arial" w:hAnsi="Arial" w:cs="Arial"/>
                <w:sz w:val="20"/>
                <w:szCs w:val="20"/>
              </w:rPr>
              <w:t>távající</w:t>
            </w:r>
            <w:r w:rsidR="00E21160">
              <w:rPr>
                <w:rFonts w:ascii="Arial" w:hAnsi="Arial" w:cs="Arial"/>
                <w:sz w:val="20"/>
                <w:szCs w:val="20"/>
              </w:rPr>
              <w:t>mu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2FE2">
              <w:rPr>
                <w:rFonts w:ascii="Arial" w:hAnsi="Arial" w:cs="Arial"/>
                <w:sz w:val="20"/>
                <w:szCs w:val="20"/>
              </w:rPr>
              <w:t>poplatník</w:t>
            </w:r>
            <w:r w:rsidR="00E21160">
              <w:rPr>
                <w:rFonts w:ascii="Arial" w:hAnsi="Arial" w:cs="Arial"/>
                <w:sz w:val="20"/>
                <w:szCs w:val="20"/>
              </w:rPr>
              <w:t>ovi</w:t>
            </w:r>
            <w:r>
              <w:rPr>
                <w:rFonts w:ascii="Arial" w:hAnsi="Arial" w:cs="Arial"/>
                <w:sz w:val="20"/>
                <w:szCs w:val="20"/>
              </w:rPr>
              <w:t>, kterému nebyla st</w:t>
            </w:r>
            <w:r w:rsidRPr="00E52FE2">
              <w:rPr>
                <w:rFonts w:ascii="Arial" w:hAnsi="Arial" w:cs="Arial"/>
                <w:sz w:val="20"/>
                <w:szCs w:val="20"/>
              </w:rPr>
              <w:t>anovena daň z</w:t>
            </w:r>
            <w:r>
              <w:rPr>
                <w:rFonts w:ascii="Arial" w:hAnsi="Arial" w:cs="Arial"/>
                <w:sz w:val="20"/>
                <w:szCs w:val="20"/>
              </w:rPr>
              <w:t xml:space="preserve">e zpevněné plochy pozemku, neboť </w:t>
            </w:r>
            <w:r w:rsidR="00E21160">
              <w:rPr>
                <w:rFonts w:ascii="Arial" w:hAnsi="Arial" w:cs="Arial"/>
                <w:sz w:val="20"/>
                <w:szCs w:val="20"/>
              </w:rPr>
              <w:t xml:space="preserve">se nenacházela </w:t>
            </w:r>
            <w:r>
              <w:rPr>
                <w:rFonts w:ascii="Arial" w:hAnsi="Arial" w:cs="Arial"/>
                <w:sz w:val="20"/>
                <w:szCs w:val="20"/>
              </w:rPr>
              <w:t xml:space="preserve">na pozemku evidovaném v KN v druhu </w:t>
            </w:r>
            <w:r w:rsidR="0054214B">
              <w:rPr>
                <w:rFonts w:ascii="Arial" w:hAnsi="Arial" w:cs="Arial"/>
                <w:sz w:val="20"/>
                <w:szCs w:val="20"/>
              </w:rPr>
              <w:t xml:space="preserve">pozemku </w:t>
            </w:r>
            <w:r>
              <w:rPr>
                <w:rFonts w:ascii="Arial" w:hAnsi="Arial" w:cs="Arial"/>
                <w:sz w:val="20"/>
                <w:szCs w:val="20"/>
              </w:rPr>
              <w:t xml:space="preserve">ostatní plocha nebo zastavěná plocha a nádvoří, nově vzniká povinnost podat daňové přiznání, neboť podmínka, </w:t>
            </w:r>
            <w:r w:rsidR="0054214B">
              <w:rPr>
                <w:rFonts w:ascii="Arial" w:hAnsi="Arial" w:cs="Arial"/>
                <w:sz w:val="20"/>
                <w:szCs w:val="20"/>
              </w:rPr>
              <w:t>ž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zpevněná plocha pozemku se </w:t>
            </w:r>
            <w:r>
              <w:rPr>
                <w:rFonts w:ascii="Arial" w:hAnsi="Arial" w:cs="Arial"/>
                <w:sz w:val="20"/>
                <w:szCs w:val="20"/>
              </w:rPr>
              <w:t xml:space="preserve">musí </w:t>
            </w:r>
            <w:r w:rsidRPr="00E52FE2">
              <w:rPr>
                <w:rFonts w:ascii="Arial" w:hAnsi="Arial" w:cs="Arial"/>
                <w:sz w:val="20"/>
                <w:szCs w:val="20"/>
              </w:rPr>
              <w:t>nacháze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na pozemku ostatní ploch</w:t>
            </w:r>
            <w:r w:rsidR="0054214B">
              <w:rPr>
                <w:rFonts w:ascii="Arial" w:hAnsi="Arial" w:cs="Arial"/>
                <w:sz w:val="20"/>
                <w:szCs w:val="20"/>
              </w:rPr>
              <w:t>y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nebo zastavěn</w:t>
            </w:r>
            <w:r w:rsidR="0054214B">
              <w:rPr>
                <w:rFonts w:ascii="Arial" w:hAnsi="Arial" w:cs="Arial"/>
                <w:sz w:val="20"/>
                <w:szCs w:val="20"/>
              </w:rPr>
              <w:t>é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ploch</w:t>
            </w:r>
            <w:r w:rsidR="0054214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a nádvoří je z vymezení předmětu daně </w:t>
            </w:r>
            <w:r w:rsidR="0054214B">
              <w:rPr>
                <w:rFonts w:ascii="Arial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>zpevněné plochy pozemku zrušena.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E7954" w14:textId="77777777" w:rsidR="00FD1CF1" w:rsidRPr="009A151B" w:rsidRDefault="00FD1CF1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0640B0DB" w14:textId="6EAB2659" w:rsidR="00FD1CF1" w:rsidRPr="00CF0D4B" w:rsidRDefault="00FD1CF1" w:rsidP="00FD1CF1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Vznik nového 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předmětu daně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z pozemků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„W“</w:t>
            </w:r>
          </w:p>
          <w:p w14:paraId="7003888C" w14:textId="388AF97F" w:rsidR="00FD1CF1" w:rsidRDefault="00FD1CF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</w:t>
            </w:r>
            <w:r w:rsidRPr="00E52FE2">
              <w:rPr>
                <w:rFonts w:ascii="Arial" w:hAnsi="Arial" w:cs="Arial"/>
                <w:sz w:val="20"/>
                <w:szCs w:val="20"/>
              </w:rPr>
              <w:t>távající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poplatník</w:t>
            </w:r>
            <w:r>
              <w:rPr>
                <w:rFonts w:ascii="Arial" w:hAnsi="Arial" w:cs="Arial"/>
                <w:sz w:val="20"/>
                <w:szCs w:val="20"/>
              </w:rPr>
              <w:t>ů s daní stanovenou z </w:t>
            </w:r>
            <w:r w:rsidRPr="00E52FE2">
              <w:rPr>
                <w:rFonts w:ascii="Arial" w:hAnsi="Arial" w:cs="Arial"/>
                <w:sz w:val="20"/>
                <w:szCs w:val="20"/>
              </w:rPr>
              <w:t>pozemk</w:t>
            </w:r>
            <w:r>
              <w:rPr>
                <w:rFonts w:ascii="Arial" w:hAnsi="Arial" w:cs="Arial"/>
                <w:sz w:val="20"/>
                <w:szCs w:val="20"/>
              </w:rPr>
              <w:t>ů druhu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ostatní ploch</w:t>
            </w:r>
            <w:r w:rsidR="0060525E">
              <w:rPr>
                <w:rFonts w:ascii="Arial" w:hAnsi="Arial" w:cs="Arial"/>
                <w:sz w:val="20"/>
                <w:szCs w:val="20"/>
              </w:rPr>
              <w:t>a</w:t>
            </w:r>
            <w:r w:rsidR="007152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32E">
              <w:rPr>
                <w:rFonts w:ascii="Arial" w:hAnsi="Arial" w:cs="Arial"/>
                <w:sz w:val="20"/>
                <w:szCs w:val="20"/>
              </w:rPr>
              <w:t xml:space="preserve"> (G)</w:t>
            </w:r>
            <w:r w:rsidR="0060525E">
              <w:rPr>
                <w:rFonts w:ascii="Arial" w:hAnsi="Arial" w:cs="Arial"/>
                <w:sz w:val="20"/>
                <w:szCs w:val="20"/>
              </w:rPr>
              <w:t xml:space="preserve">, které jsou evidovány </w:t>
            </w: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E52FE2">
              <w:rPr>
                <w:rFonts w:ascii="Arial" w:hAnsi="Arial" w:cs="Arial"/>
                <w:sz w:val="20"/>
                <w:szCs w:val="20"/>
              </w:rPr>
              <w:t>KN se způsobem využití neplodná půda, mez, stráň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zamokřená plocha a zeleň</w:t>
            </w:r>
            <w:r>
              <w:rPr>
                <w:rFonts w:ascii="Arial" w:hAnsi="Arial" w:cs="Arial"/>
                <w:sz w:val="20"/>
                <w:szCs w:val="20"/>
              </w:rPr>
              <w:t xml:space="preserve"> dojde ke změně na </w:t>
            </w:r>
            <w:r w:rsidRPr="0060525E">
              <w:rPr>
                <w:rFonts w:ascii="Arial" w:hAnsi="Arial" w:cs="Arial"/>
                <w:sz w:val="20"/>
                <w:szCs w:val="20"/>
              </w:rPr>
              <w:t>předmět daně „W“.</w:t>
            </w:r>
          </w:p>
          <w:p w14:paraId="3371553F" w14:textId="21A6BEC8" w:rsidR="0043432E" w:rsidRPr="009A151B" w:rsidRDefault="0043432E" w:rsidP="0043432E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34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(Rozdělení původního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druhu pozemku </w:t>
            </w:r>
            <w:r w:rsidRPr="004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„G“</w:t>
            </w:r>
            <w:r w:rsidR="009210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415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způsobu využití na </w:t>
            </w:r>
            <w:r w:rsidRPr="00434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„W“, „Q“ a „G“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změna </w:t>
            </w:r>
            <w:r w:rsidRPr="004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proběhne automatizovaně).</w:t>
            </w:r>
          </w:p>
        </w:tc>
      </w:tr>
      <w:tr w:rsidR="00FD1CF1" w:rsidRPr="00400A50" w14:paraId="41840BDD" w14:textId="77777777" w:rsidTr="00EF3619">
        <w:tc>
          <w:tcPr>
            <w:tcW w:w="7286" w:type="dxa"/>
            <w:tcBorders>
              <w:right w:val="single" w:sz="4" w:space="0" w:color="auto"/>
            </w:tcBorders>
          </w:tcPr>
          <w:p w14:paraId="4AF3C88F" w14:textId="5CB2E7A6" w:rsidR="00AB782C" w:rsidRPr="009A151B" w:rsidRDefault="00AB782C" w:rsidP="00AB782C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  <w:r w:rsidRPr="009A15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Nastavení formálního stavu zdanění u budovy garáže</w:t>
            </w:r>
          </w:p>
          <w:p w14:paraId="74BD6D5D" w14:textId="01BA8E92" w:rsidR="00FD1CF1" w:rsidRPr="00E35619" w:rsidRDefault="00AB782C" w:rsidP="0043432E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Stávající</w:t>
            </w:r>
            <w:r w:rsidR="00790B5D">
              <w:rPr>
                <w:rFonts w:ascii="Arial" w:hAnsi="Arial" w:cs="Arial"/>
                <w:sz w:val="20"/>
                <w:szCs w:val="20"/>
              </w:rPr>
              <w:t>mu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2FE2">
              <w:rPr>
                <w:rFonts w:ascii="Arial" w:hAnsi="Arial" w:cs="Arial"/>
                <w:sz w:val="20"/>
                <w:szCs w:val="20"/>
              </w:rPr>
              <w:t>poplatník</w:t>
            </w:r>
            <w:r w:rsidR="00790B5D">
              <w:rPr>
                <w:rFonts w:ascii="Arial" w:hAnsi="Arial" w:cs="Arial"/>
                <w:sz w:val="20"/>
                <w:szCs w:val="20"/>
              </w:rPr>
              <w:t>ovi</w:t>
            </w:r>
            <w:r>
              <w:rPr>
                <w:rFonts w:ascii="Arial" w:hAnsi="Arial" w:cs="Arial"/>
                <w:sz w:val="20"/>
                <w:szCs w:val="20"/>
              </w:rPr>
              <w:t xml:space="preserve">, kterému byla stanovena daň </w:t>
            </w:r>
            <w:r w:rsidRPr="00E52FE2">
              <w:rPr>
                <w:rFonts w:ascii="Arial" w:hAnsi="Arial" w:cs="Arial"/>
                <w:sz w:val="20"/>
                <w:szCs w:val="20"/>
              </w:rPr>
              <w:t>z budovy evidované v KN se způsobem využití garáž v jiném předmětu daně, než je předmět daně garáž</w:t>
            </w:r>
            <w:r>
              <w:rPr>
                <w:rFonts w:ascii="Arial" w:hAnsi="Arial" w:cs="Arial"/>
                <w:sz w:val="20"/>
                <w:szCs w:val="20"/>
              </w:rPr>
              <w:t xml:space="preserve"> – „L</w:t>
            </w:r>
            <w:r w:rsidRPr="00E52FE2">
              <w:rPr>
                <w:rFonts w:ascii="Arial" w:hAnsi="Arial" w:cs="Arial"/>
                <w:sz w:val="20"/>
                <w:szCs w:val="20"/>
              </w:rPr>
              <w:t>“</w:t>
            </w:r>
            <w:r w:rsidR="00790B5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nově vzniká povinnost podat daňové přiznání a přiznat stavbu garáže „L“, neboť definice budovy garáže respektuje formální stav evidence způsobu využití v KN. Obdobně vzniká povinnost podat daňové přiznání i poplatníkům, kterým </w:t>
            </w:r>
            <w:r w:rsidRPr="00E52FE2">
              <w:rPr>
                <w:rFonts w:ascii="Arial" w:hAnsi="Arial" w:cs="Arial"/>
                <w:sz w:val="20"/>
                <w:szCs w:val="20"/>
              </w:rPr>
              <w:t>byla daň stanovena v předmětu daně „L – garáž“ ze stavby evidované v KN s jiným způsobem využití než garáž</w:t>
            </w:r>
            <w:r w:rsidR="00790B5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90B5D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přiznat stavbu v předmětu daně ostatní stavba „P“, popř. příslušenství k budově obytného domu „I“.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97CED" w14:textId="77777777" w:rsidR="00FD1CF1" w:rsidRPr="009A151B" w:rsidRDefault="00FD1CF1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4FAF73C2" w14:textId="20945792" w:rsidR="00FD1CF1" w:rsidRPr="00CF0D4B" w:rsidRDefault="00FD1CF1" w:rsidP="00FD1CF1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Vznik nového předmětu daně z pozemků 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„Q“ </w:t>
            </w:r>
          </w:p>
          <w:p w14:paraId="22677028" w14:textId="737577C0" w:rsidR="00FD1CF1" w:rsidRDefault="00FD1CF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stávajících poplatníků s daní stanovenou z pozemků druhu ostatní plocha</w:t>
            </w:r>
            <w:r w:rsidR="0043432E">
              <w:rPr>
                <w:rFonts w:ascii="Arial" w:hAnsi="Arial" w:cs="Arial"/>
                <w:sz w:val="20"/>
                <w:szCs w:val="20"/>
              </w:rPr>
              <w:t xml:space="preserve"> (G)</w:t>
            </w:r>
            <w:r w:rsidRPr="00E52FE2">
              <w:rPr>
                <w:rFonts w:ascii="Arial" w:hAnsi="Arial" w:cs="Arial"/>
                <w:sz w:val="20"/>
                <w:szCs w:val="20"/>
              </w:rPr>
              <w:t>, kter</w:t>
            </w:r>
            <w:r>
              <w:rPr>
                <w:rFonts w:ascii="Arial" w:hAnsi="Arial" w:cs="Arial"/>
                <w:sz w:val="20"/>
                <w:szCs w:val="20"/>
              </w:rPr>
              <w:t>é jsou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evidován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v KN se způsobem využití jiná plocha</w:t>
            </w:r>
            <w:r>
              <w:rPr>
                <w:rFonts w:ascii="Arial" w:hAnsi="Arial" w:cs="Arial"/>
                <w:sz w:val="20"/>
                <w:szCs w:val="20"/>
              </w:rPr>
              <w:t xml:space="preserve"> dojde ke změně na </w:t>
            </w:r>
            <w:r w:rsidRPr="0060525E">
              <w:rPr>
                <w:rFonts w:ascii="Arial" w:hAnsi="Arial" w:cs="Arial"/>
                <w:sz w:val="20"/>
                <w:szCs w:val="20"/>
              </w:rPr>
              <w:t>předmět daně „Q“.</w:t>
            </w:r>
          </w:p>
          <w:p w14:paraId="46DA588E" w14:textId="7961CD23" w:rsidR="0043432E" w:rsidRPr="009A151B" w:rsidRDefault="0043432E" w:rsidP="0043432E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34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(Rozdělení původního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druhu pozemku </w:t>
            </w:r>
            <w:r w:rsidRPr="004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„G“</w:t>
            </w:r>
            <w:r w:rsidR="009210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415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způsobu využití na </w:t>
            </w:r>
            <w:r w:rsidRPr="00434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„W“, „Q“ a „G“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změna </w:t>
            </w:r>
            <w:r w:rsidRPr="004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proběhne automatizovaně).</w:t>
            </w:r>
          </w:p>
        </w:tc>
      </w:tr>
      <w:tr w:rsidR="00EF3619" w:rsidRPr="00400A50" w14:paraId="3BF5DBC7" w14:textId="77777777" w:rsidTr="00EF3619">
        <w:tc>
          <w:tcPr>
            <w:tcW w:w="7286" w:type="dxa"/>
            <w:tcBorders>
              <w:right w:val="single" w:sz="4" w:space="0" w:color="auto"/>
            </w:tcBorders>
          </w:tcPr>
          <w:p w14:paraId="0DB3EB54" w14:textId="7B9C6D52" w:rsidR="00BA7C33" w:rsidRPr="00E35619" w:rsidRDefault="00BA7C33" w:rsidP="00BA7C33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  <w:r w:rsidRPr="00E3561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Změna ve vymezení poplatníka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(uživatel pozemku ve vlastnictví ČR)</w:t>
            </w:r>
          </w:p>
          <w:p w14:paraId="4A57B342" w14:textId="172213ED" w:rsidR="00BA7C33" w:rsidRDefault="00BA7C33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živatel pozemku ve vlastnictví ČR, ke kterému má právo hospodaření Státní pozemkový úřad </w:t>
            </w:r>
            <w:r w:rsidR="00575A6C">
              <w:rPr>
                <w:rFonts w:ascii="Arial" w:hAnsi="Arial" w:cs="Arial"/>
                <w:sz w:val="20"/>
                <w:szCs w:val="20"/>
              </w:rPr>
              <w:t xml:space="preserve">(SPÚ) </w:t>
            </w:r>
            <w:r>
              <w:rPr>
                <w:rFonts w:ascii="Arial" w:hAnsi="Arial" w:cs="Arial"/>
                <w:sz w:val="20"/>
                <w:szCs w:val="20"/>
              </w:rPr>
              <w:t xml:space="preserve">a který </w:t>
            </w:r>
            <w:r w:rsidRPr="00E52FE2">
              <w:rPr>
                <w:rFonts w:ascii="Arial" w:hAnsi="Arial" w:cs="Arial"/>
                <w:sz w:val="20"/>
                <w:szCs w:val="20"/>
              </w:rPr>
              <w:t>užívá pozemek</w:t>
            </w:r>
            <w:r>
              <w:rPr>
                <w:rFonts w:ascii="Arial" w:hAnsi="Arial" w:cs="Arial"/>
                <w:sz w:val="20"/>
                <w:szCs w:val="20"/>
              </w:rPr>
              <w:t xml:space="preserve"> například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na základě </w:t>
            </w:r>
            <w:r w:rsidR="00790B5D">
              <w:rPr>
                <w:rFonts w:ascii="Arial" w:hAnsi="Arial" w:cs="Arial"/>
                <w:sz w:val="20"/>
                <w:szCs w:val="20"/>
              </w:rPr>
              <w:t>d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ohody o </w:t>
            </w:r>
            <w:r w:rsidRPr="00E52FE2">
              <w:rPr>
                <w:rFonts w:ascii="Arial" w:hAnsi="Arial" w:cs="Arial"/>
                <w:sz w:val="20"/>
                <w:szCs w:val="20"/>
              </w:rPr>
              <w:lastRenderedPageBreak/>
              <w:t>zaplacení úhrady za užívání nemovité věci</w:t>
            </w:r>
            <w:r>
              <w:rPr>
                <w:rFonts w:ascii="Arial" w:hAnsi="Arial" w:cs="Arial"/>
                <w:sz w:val="20"/>
                <w:szCs w:val="20"/>
              </w:rPr>
              <w:t xml:space="preserve"> má </w:t>
            </w:r>
            <w:r w:rsidR="00790B5D">
              <w:rPr>
                <w:rFonts w:ascii="Arial" w:hAnsi="Arial" w:cs="Arial"/>
                <w:sz w:val="20"/>
                <w:szCs w:val="20"/>
              </w:rPr>
              <w:t xml:space="preserve">nově </w:t>
            </w:r>
            <w:r>
              <w:rPr>
                <w:rFonts w:ascii="Arial" w:hAnsi="Arial" w:cs="Arial"/>
                <w:sz w:val="20"/>
                <w:szCs w:val="20"/>
              </w:rPr>
              <w:t>povinnost podat daňové přiznání a přiznat daň z tohoto pozemku (do r. 2023 se povinnost vztahovala pouze na nájemce a pachtýře).</w:t>
            </w:r>
          </w:p>
          <w:p w14:paraId="45C696CC" w14:textId="01E2E048" w:rsidR="00EF3619" w:rsidRPr="00E52FE2" w:rsidRDefault="00EF3619" w:rsidP="00EF361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160B4" w14:textId="77777777" w:rsidR="00EF3619" w:rsidRPr="009A151B" w:rsidRDefault="00EF3619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29FFCDB8" w14:textId="3B349D50" w:rsidR="00EF3619" w:rsidRPr="009A151B" w:rsidRDefault="0060525E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  <w:r w:rsidR="00EF3619" w:rsidRPr="009A15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Nastavení formálního stavu zdanění u budovy pro rodinnou rekreaci</w:t>
            </w:r>
            <w:r w:rsidR="00EF361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dle údajů evidovaných v</w:t>
            </w:r>
            <w:r w:rsidR="005B700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r w:rsidR="00EF361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KN</w:t>
            </w:r>
            <w:r w:rsidR="005B700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; novela nově definuje pojem budova pro rodinnou rekreaci</w:t>
            </w:r>
          </w:p>
          <w:p w14:paraId="6E93ECF1" w14:textId="5A8A1AD5" w:rsidR="00EF3619" w:rsidRPr="00E52FE2" w:rsidRDefault="005B700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 s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távající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poplatník</w:t>
            </w:r>
            <w:r>
              <w:rPr>
                <w:rFonts w:ascii="Arial" w:hAnsi="Arial" w:cs="Arial"/>
                <w:sz w:val="20"/>
                <w:szCs w:val="20"/>
              </w:rPr>
              <w:t xml:space="preserve">ů s daní 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stanoven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 w:rsidR="00EF3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25E" w:rsidRPr="005B7001">
              <w:rPr>
                <w:rFonts w:ascii="Arial" w:hAnsi="Arial" w:cs="Arial"/>
                <w:sz w:val="20"/>
                <w:szCs w:val="20"/>
              </w:rPr>
              <w:t>u budovy evidované v KN se způsobem využití budova pro rodinnou rekreaci</w:t>
            </w:r>
            <w:r w:rsidR="0060525E" w:rsidRPr="00E5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v jiném předmětu daně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než </w:t>
            </w:r>
            <w:r w:rsidR="0060525E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stavba </w:t>
            </w:r>
            <w:r w:rsidR="00EF3619" w:rsidRPr="005B7001">
              <w:rPr>
                <w:rFonts w:ascii="Arial" w:hAnsi="Arial" w:cs="Arial"/>
                <w:sz w:val="20"/>
                <w:szCs w:val="20"/>
              </w:rPr>
              <w:t>pro rodinnou rekreaci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B70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</w:t>
            </w:r>
            <w:r w:rsidR="00EF3619" w:rsidRPr="005B700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B7001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 xml:space="preserve">konverze </w:t>
            </w:r>
            <w:r w:rsidR="00EF3619" w:rsidRPr="005B7001">
              <w:rPr>
                <w:rFonts w:ascii="Arial" w:hAnsi="Arial" w:cs="Arial"/>
                <w:sz w:val="20"/>
                <w:szCs w:val="20"/>
              </w:rPr>
              <w:t>dle údajů</w:t>
            </w:r>
            <w:r w:rsidR="00956E5C">
              <w:rPr>
                <w:rFonts w:ascii="Arial" w:hAnsi="Arial" w:cs="Arial"/>
                <w:sz w:val="20"/>
                <w:szCs w:val="20"/>
              </w:rPr>
              <w:t>, resp. způsobu využ</w:t>
            </w:r>
            <w:r w:rsidR="00CE376A">
              <w:rPr>
                <w:rFonts w:ascii="Arial" w:hAnsi="Arial" w:cs="Arial"/>
                <w:sz w:val="20"/>
                <w:szCs w:val="20"/>
              </w:rPr>
              <w:t>i</w:t>
            </w:r>
            <w:r w:rsidR="00956E5C">
              <w:rPr>
                <w:rFonts w:ascii="Arial" w:hAnsi="Arial" w:cs="Arial"/>
                <w:sz w:val="20"/>
                <w:szCs w:val="20"/>
              </w:rPr>
              <w:t>tí,</w:t>
            </w:r>
            <w:r w:rsidR="00EF3619" w:rsidRPr="005B7001">
              <w:rPr>
                <w:rFonts w:ascii="Arial" w:hAnsi="Arial" w:cs="Arial"/>
                <w:sz w:val="20"/>
                <w:szCs w:val="20"/>
              </w:rPr>
              <w:t xml:space="preserve"> v KN.</w:t>
            </w:r>
          </w:p>
        </w:tc>
      </w:tr>
      <w:tr w:rsidR="00EF3619" w:rsidRPr="00400A50" w14:paraId="64AF054A" w14:textId="77777777" w:rsidTr="00312E50">
        <w:tc>
          <w:tcPr>
            <w:tcW w:w="7286" w:type="dxa"/>
            <w:tcBorders>
              <w:right w:val="single" w:sz="4" w:space="0" w:color="auto"/>
            </w:tcBorders>
          </w:tcPr>
          <w:p w14:paraId="6F4973A1" w14:textId="17359A04" w:rsidR="00EF3619" w:rsidRPr="00E35619" w:rsidRDefault="00BA7C33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5</w:t>
            </w:r>
            <w:r w:rsidR="00EF3619" w:rsidRPr="00E3561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Změna ve vymezení poplatníka</w:t>
            </w:r>
            <w:r w:rsidR="00EF361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(uživatel pozemku ve vlastnictví ČR)</w:t>
            </w:r>
          </w:p>
          <w:p w14:paraId="1ECE5FBD" w14:textId="79FFA891" w:rsidR="00EF3619" w:rsidRDefault="00EF3619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živatel pozemku ve vlastnictví ČR, ke kterému má právo hospodaření </w:t>
            </w:r>
            <w:r w:rsidR="00790B5D">
              <w:rPr>
                <w:rFonts w:ascii="Arial" w:hAnsi="Arial" w:cs="Arial"/>
                <w:sz w:val="20"/>
                <w:szCs w:val="20"/>
              </w:rPr>
              <w:t xml:space="preserve">Úřad pro zastupování státu ve věcech majetkových </w:t>
            </w:r>
            <w:r w:rsidR="00575A6C">
              <w:rPr>
                <w:rFonts w:ascii="Arial" w:hAnsi="Arial" w:cs="Arial"/>
                <w:sz w:val="20"/>
                <w:szCs w:val="20"/>
              </w:rPr>
              <w:t xml:space="preserve">(ÚZSVM) </w:t>
            </w:r>
            <w:r w:rsidR="00BA7C33">
              <w:rPr>
                <w:rFonts w:ascii="Arial" w:hAnsi="Arial" w:cs="Arial"/>
                <w:sz w:val="20"/>
                <w:szCs w:val="20"/>
              </w:rPr>
              <w:t>a který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užívá pozemek</w:t>
            </w:r>
            <w:r>
              <w:rPr>
                <w:rFonts w:ascii="Arial" w:hAnsi="Arial" w:cs="Arial"/>
                <w:sz w:val="20"/>
                <w:szCs w:val="20"/>
              </w:rPr>
              <w:t xml:space="preserve"> například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na základě </w:t>
            </w:r>
            <w:r w:rsidR="00BA7C33">
              <w:rPr>
                <w:rFonts w:ascii="Arial" w:hAnsi="Arial" w:cs="Arial"/>
                <w:sz w:val="20"/>
                <w:szCs w:val="20"/>
              </w:rPr>
              <w:t xml:space="preserve">nájemní či pachtovní smlouvy, popř. </w:t>
            </w:r>
            <w:r w:rsidR="00575A6C">
              <w:rPr>
                <w:rFonts w:ascii="Arial" w:hAnsi="Arial" w:cs="Arial"/>
                <w:sz w:val="20"/>
                <w:szCs w:val="20"/>
              </w:rPr>
              <w:t xml:space="preserve">jiného právního titulu či </w:t>
            </w:r>
            <w:r w:rsidR="00BA7C33">
              <w:rPr>
                <w:rFonts w:ascii="Arial" w:hAnsi="Arial" w:cs="Arial"/>
                <w:sz w:val="20"/>
                <w:szCs w:val="20"/>
              </w:rPr>
              <w:t>bez právního titulu, má nově povinnost podat daňové přiznání a přiznat daň z tohoto pozemku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1C4672" w14:textId="77777777" w:rsidR="00EF3619" w:rsidRDefault="00EF3619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8BDAC2" w14:textId="77777777" w:rsidR="00EF3619" w:rsidRDefault="00EF3619" w:rsidP="00EF361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EC097A9" w14:textId="34C736BE" w:rsidR="00EF3619" w:rsidRPr="00E52FE2" w:rsidRDefault="00EF3619" w:rsidP="00EF361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F9B69" w14:textId="77777777" w:rsidR="00EF3619" w:rsidRPr="00E52FE2" w:rsidRDefault="00EF3619" w:rsidP="00EF361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  <w:bottom w:val="single" w:sz="4" w:space="0" w:color="auto"/>
            </w:tcBorders>
          </w:tcPr>
          <w:p w14:paraId="535D124C" w14:textId="17ED477E" w:rsidR="00EF3619" w:rsidRDefault="00035BF2" w:rsidP="00EF361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</w:t>
            </w:r>
            <w:r w:rsidR="00C436F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="00EF3619" w:rsidRPr="009A15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Nastavení formálního stavu zdanění</w:t>
            </w:r>
            <w:r w:rsidR="006568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0525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u </w:t>
            </w:r>
            <w:r w:rsidR="006568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budovy plnící doplňkovou funkci k</w:t>
            </w:r>
            <w:r w:rsidR="00704F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budově pro rodinnou rekreaci</w:t>
            </w:r>
            <w:r w:rsidR="00EF361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704F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původně </w:t>
            </w:r>
            <w:r w:rsidR="001C32D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zdaněné</w:t>
            </w:r>
            <w:r w:rsidR="00704F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jako příslušenství k budově obytného domu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(souvislost s předchozím bodem </w:t>
            </w:r>
            <w:r w:rsidR="00BD47CC">
              <w:rPr>
                <w:rFonts w:ascii="Arial" w:hAnsi="Arial" w:cs="Arial"/>
                <w:sz w:val="20"/>
                <w:szCs w:val="20"/>
              </w:rPr>
              <w:t>4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1D87254F" w14:textId="3C0A107F" w:rsidR="00EF3619" w:rsidRPr="00E52FE2" w:rsidRDefault="0065681E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távající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poplatník</w:t>
            </w:r>
            <w:r>
              <w:rPr>
                <w:rFonts w:ascii="Arial" w:hAnsi="Arial" w:cs="Arial"/>
                <w:sz w:val="20"/>
                <w:szCs w:val="20"/>
              </w:rPr>
              <w:t>ů, u kterých bude provedena konverze předmětu daně</w:t>
            </w:r>
            <w:r w:rsidR="00704FA6">
              <w:rPr>
                <w:rFonts w:ascii="Arial" w:hAnsi="Arial" w:cs="Arial"/>
                <w:sz w:val="20"/>
                <w:szCs w:val="20"/>
              </w:rPr>
              <w:t xml:space="preserve"> dle údajů evidovaných v KN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FA6">
              <w:rPr>
                <w:rFonts w:ascii="Arial" w:hAnsi="Arial" w:cs="Arial"/>
                <w:sz w:val="20"/>
                <w:szCs w:val="20"/>
              </w:rPr>
              <w:t xml:space="preserve">na budovu pro rodinnou rekreaci, bude 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daň ze sta</w:t>
            </w:r>
            <w:r w:rsidR="00EF3619">
              <w:rPr>
                <w:rFonts w:ascii="Arial" w:hAnsi="Arial" w:cs="Arial"/>
                <w:sz w:val="20"/>
                <w:szCs w:val="20"/>
              </w:rPr>
              <w:t>v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by tvořící příslušenství k budově obytného domu, tj. </w:t>
            </w:r>
            <w:r w:rsidR="0060525E">
              <w:rPr>
                <w:rFonts w:ascii="Arial" w:hAnsi="Arial" w:cs="Arial"/>
                <w:sz w:val="20"/>
                <w:szCs w:val="20"/>
              </w:rPr>
              <w:t xml:space="preserve">původního 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předmětu daně „I“</w:t>
            </w:r>
            <w:r w:rsidR="00704FA6">
              <w:rPr>
                <w:rFonts w:ascii="Arial" w:hAnsi="Arial" w:cs="Arial"/>
                <w:sz w:val="20"/>
                <w:szCs w:val="20"/>
              </w:rPr>
              <w:t>,</w:t>
            </w:r>
            <w:r w:rsidR="001C32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25E">
              <w:rPr>
                <w:rFonts w:ascii="Arial" w:hAnsi="Arial" w:cs="Arial"/>
                <w:sz w:val="20"/>
                <w:szCs w:val="20"/>
              </w:rPr>
              <w:t xml:space="preserve">změněna </w:t>
            </w:r>
            <w:r w:rsidR="00704FA6">
              <w:rPr>
                <w:rFonts w:ascii="Arial" w:hAnsi="Arial" w:cs="Arial"/>
                <w:sz w:val="20"/>
                <w:szCs w:val="20"/>
              </w:rPr>
              <w:t>na předmět daně budova plnící doplňkovou funkci k</w:t>
            </w:r>
            <w:r w:rsidR="00C436FD">
              <w:rPr>
                <w:rFonts w:ascii="Arial" w:hAnsi="Arial" w:cs="Arial"/>
                <w:sz w:val="20"/>
                <w:szCs w:val="20"/>
              </w:rPr>
              <w:t> </w:t>
            </w:r>
            <w:r w:rsidR="00704FA6">
              <w:rPr>
                <w:rFonts w:ascii="Arial" w:hAnsi="Arial" w:cs="Arial"/>
                <w:sz w:val="20"/>
                <w:szCs w:val="20"/>
              </w:rPr>
              <w:t>budově</w:t>
            </w:r>
            <w:r w:rsidR="00C436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FA6">
              <w:rPr>
                <w:rFonts w:ascii="Arial" w:hAnsi="Arial" w:cs="Arial"/>
                <w:sz w:val="20"/>
                <w:szCs w:val="20"/>
              </w:rPr>
              <w:t xml:space="preserve">pro rodinnou rekreaci „K“ </w:t>
            </w:r>
            <w:r w:rsidR="0060525E">
              <w:rPr>
                <w:rFonts w:ascii="Arial" w:hAnsi="Arial" w:cs="Arial"/>
                <w:sz w:val="20"/>
                <w:szCs w:val="20"/>
              </w:rPr>
              <w:t xml:space="preserve">a „odsouhlasena“ správcem daně, který </w:t>
            </w:r>
            <w:r w:rsidR="00704FA6">
              <w:rPr>
                <w:rFonts w:ascii="Arial" w:hAnsi="Arial" w:cs="Arial"/>
                <w:sz w:val="20"/>
                <w:szCs w:val="20"/>
              </w:rPr>
              <w:t>rovněž zohlední stavby, které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nebyl</w:t>
            </w:r>
            <w:r w:rsidR="00704FA6">
              <w:rPr>
                <w:rFonts w:ascii="Arial" w:hAnsi="Arial" w:cs="Arial"/>
                <w:sz w:val="20"/>
                <w:szCs w:val="20"/>
              </w:rPr>
              <w:t>y</w:t>
            </w:r>
            <w:r w:rsidR="006052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daněn</w:t>
            </w:r>
            <w:r w:rsidR="00704FA6">
              <w:rPr>
                <w:rFonts w:ascii="Arial" w:hAnsi="Arial" w:cs="Arial"/>
                <w:sz w:val="20"/>
                <w:szCs w:val="20"/>
              </w:rPr>
              <w:t>y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4FA6">
              <w:rPr>
                <w:rFonts w:ascii="Arial" w:hAnsi="Arial" w:cs="Arial"/>
                <w:sz w:val="20"/>
                <w:szCs w:val="20"/>
              </w:rPr>
              <w:t>neboť jejich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výměra byla menší než 16 m</w:t>
            </w:r>
            <w:r w:rsidR="00EF3619" w:rsidRPr="00E52FE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EF3619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.</w:t>
            </w:r>
          </w:p>
        </w:tc>
      </w:tr>
      <w:tr w:rsidR="00EF3619" w:rsidRPr="00400A50" w14:paraId="6752DD7F" w14:textId="77777777" w:rsidTr="00312E50">
        <w:trPr>
          <w:trHeight w:val="689"/>
        </w:trPr>
        <w:tc>
          <w:tcPr>
            <w:tcW w:w="7286" w:type="dxa"/>
            <w:tcBorders>
              <w:right w:val="single" w:sz="4" w:space="0" w:color="auto"/>
            </w:tcBorders>
          </w:tcPr>
          <w:p w14:paraId="5692F038" w14:textId="5B6744A2" w:rsidR="007A09E1" w:rsidRPr="009A151B" w:rsidRDefault="00C35817" w:rsidP="007A09E1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</w:t>
            </w:r>
            <w:r w:rsidR="007A09E1" w:rsidRPr="009A15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Nové nastavení poplatníka uživatele</w:t>
            </w:r>
            <w:r w:rsidR="007A09E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zdanitelných staveb a zdanitelných jednotek</w:t>
            </w:r>
          </w:p>
          <w:p w14:paraId="612896DA" w14:textId="63AAA6AF" w:rsidR="00EF3619" w:rsidRPr="00E52FE2" w:rsidRDefault="007A09E1" w:rsidP="0043432E">
            <w:pPr>
              <w:spacing w:after="16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52FE2">
              <w:rPr>
                <w:rFonts w:ascii="Arial" w:hAnsi="Arial" w:cs="Arial"/>
                <w:sz w:val="20"/>
                <w:szCs w:val="20"/>
              </w:rPr>
              <w:t>živatel užív</w:t>
            </w:r>
            <w:r>
              <w:rPr>
                <w:rFonts w:ascii="Arial" w:hAnsi="Arial" w:cs="Arial"/>
                <w:sz w:val="20"/>
                <w:szCs w:val="20"/>
              </w:rPr>
              <w:t>ající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budovu, vyjma budov</w:t>
            </w:r>
            <w:r w:rsidR="008E104F">
              <w:rPr>
                <w:rFonts w:ascii="Arial" w:hAnsi="Arial" w:cs="Arial"/>
                <w:sz w:val="20"/>
                <w:szCs w:val="20"/>
              </w:rPr>
              <w:t>y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obytného domu, jejíž vlastník není znám</w:t>
            </w:r>
            <w:r>
              <w:rPr>
                <w:rFonts w:ascii="Arial" w:hAnsi="Arial" w:cs="Arial"/>
                <w:sz w:val="20"/>
                <w:szCs w:val="20"/>
              </w:rPr>
              <w:t xml:space="preserve">, je </w:t>
            </w:r>
            <w:r w:rsidR="008E104F">
              <w:rPr>
                <w:rFonts w:ascii="Arial" w:hAnsi="Arial" w:cs="Arial"/>
                <w:sz w:val="20"/>
                <w:szCs w:val="20"/>
              </w:rPr>
              <w:t xml:space="preserve">nově </w:t>
            </w:r>
            <w:r>
              <w:rPr>
                <w:rFonts w:ascii="Arial" w:hAnsi="Arial" w:cs="Arial"/>
                <w:sz w:val="20"/>
                <w:szCs w:val="20"/>
              </w:rPr>
              <w:t>povinen podat daňové přiznání. Uživatel je nově poplatníkem daně i v případě, že</w:t>
            </w:r>
            <w:r w:rsidRPr="007A0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A09E1">
              <w:rPr>
                <w:rFonts w:ascii="Arial" w:hAnsi="Arial" w:cs="Arial"/>
                <w:sz w:val="20"/>
                <w:szCs w:val="20"/>
              </w:rPr>
              <w:t>se zdanitelnou stavbou nebo zdanitelnou jednotkou je příslušný hospodařit S</w:t>
            </w:r>
            <w:r w:rsidR="00E962DA">
              <w:rPr>
                <w:rFonts w:ascii="Arial" w:hAnsi="Arial" w:cs="Arial"/>
                <w:sz w:val="20"/>
                <w:szCs w:val="20"/>
              </w:rPr>
              <w:t>PÚ</w:t>
            </w:r>
            <w:r w:rsidRPr="007A09E1">
              <w:rPr>
                <w:rFonts w:ascii="Arial" w:hAnsi="Arial" w:cs="Arial"/>
                <w:sz w:val="20"/>
                <w:szCs w:val="20"/>
              </w:rPr>
              <w:t xml:space="preserve"> nebo Ú</w:t>
            </w:r>
            <w:r w:rsidR="00E962DA">
              <w:rPr>
                <w:rFonts w:ascii="Arial" w:hAnsi="Arial" w:cs="Arial"/>
                <w:sz w:val="20"/>
                <w:szCs w:val="20"/>
              </w:rPr>
              <w:t>ZSVM</w:t>
            </w:r>
            <w:r w:rsidRPr="007A09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04F">
              <w:rPr>
                <w:rFonts w:ascii="Arial" w:hAnsi="Arial" w:cs="Arial"/>
                <w:sz w:val="20"/>
                <w:szCs w:val="20"/>
              </w:rPr>
              <w:t xml:space="preserve">a je povinen podat daňové přiznání </w:t>
            </w:r>
            <w:r w:rsidRPr="007A09E1">
              <w:rPr>
                <w:rFonts w:ascii="Arial" w:hAnsi="Arial" w:cs="Arial"/>
                <w:sz w:val="20"/>
                <w:szCs w:val="20"/>
              </w:rPr>
              <w:t>(pro r. 2024 je zachována výjimka z poplatníka uživatele v případě, že jde o budovu obytného domu, zdanitelnou jednotku byt, sklep či komoru</w:t>
            </w:r>
            <w:r w:rsidR="00E962DA">
              <w:rPr>
                <w:rFonts w:ascii="Arial" w:hAnsi="Arial" w:cs="Arial"/>
                <w:sz w:val="20"/>
                <w:szCs w:val="20"/>
              </w:rPr>
              <w:t>, neboť p</w:t>
            </w:r>
            <w:r w:rsidRPr="007A09E1">
              <w:rPr>
                <w:rFonts w:ascii="Arial" w:hAnsi="Arial" w:cs="Arial"/>
                <w:sz w:val="20"/>
                <w:szCs w:val="20"/>
              </w:rPr>
              <w:t>okud jsou tyto ve vlastnictví ČR s právem hospodaření SPÚ a ÚZSVM jsou osvobozeny ze zákona bez povinnosti podání daňového přiznání).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CF445" w14:textId="77777777" w:rsidR="00EF3619" w:rsidRPr="00CF0D4B" w:rsidRDefault="00EF3619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256D5608" w14:textId="187325BF" w:rsidR="00EF3619" w:rsidRDefault="00035BF2" w:rsidP="00EF361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</w:t>
            </w:r>
            <w:r w:rsidR="00EF3619"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  <w:r w:rsidR="00EF3619" w:rsidRPr="00CF0D4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F3619" w:rsidRPr="009A15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Nastavení formálního stavu zdanění u budovy pro rodinnou rekreaci</w:t>
            </w:r>
            <w:r w:rsidR="00C436F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dle údajů evidovaných v KN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F3619">
              <w:rPr>
                <w:rFonts w:ascii="Arial" w:hAnsi="Arial" w:cs="Arial"/>
                <w:sz w:val="20"/>
                <w:szCs w:val="20"/>
              </w:rPr>
              <w:t>souvis</w:t>
            </w:r>
            <w:r w:rsidR="00CE376A">
              <w:rPr>
                <w:rFonts w:ascii="Arial" w:hAnsi="Arial" w:cs="Arial"/>
                <w:sz w:val="20"/>
                <w:szCs w:val="20"/>
              </w:rPr>
              <w:t>lost</w:t>
            </w:r>
            <w:r w:rsidR="00EF3619">
              <w:rPr>
                <w:rFonts w:ascii="Arial" w:hAnsi="Arial" w:cs="Arial"/>
                <w:sz w:val="20"/>
                <w:szCs w:val="20"/>
              </w:rPr>
              <w:t xml:space="preserve"> s předchozím bodem </w:t>
            </w:r>
            <w:r w:rsidR="00BD47CC">
              <w:rPr>
                <w:rFonts w:ascii="Arial" w:hAnsi="Arial" w:cs="Arial"/>
                <w:sz w:val="20"/>
                <w:szCs w:val="20"/>
              </w:rPr>
              <w:t>4</w:t>
            </w:r>
            <w:r w:rsidR="00EF3619">
              <w:rPr>
                <w:rFonts w:ascii="Arial" w:hAnsi="Arial" w:cs="Arial"/>
                <w:sz w:val="20"/>
                <w:szCs w:val="20"/>
              </w:rPr>
              <w:t>., změna na př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edmět daně „P“)</w:t>
            </w:r>
          </w:p>
          <w:p w14:paraId="6D300C40" w14:textId="3E687EA8" w:rsidR="00EF3619" w:rsidRPr="00E52FE2" w:rsidRDefault="00C436FD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stávajících poplatníků s daní stanovenou v předmětu daně stavba pro rodinnou rekreaci „J“ u budov evidovaných v KN s jiným způsobem využit</w:t>
            </w:r>
            <w:r w:rsidR="006B521C">
              <w:rPr>
                <w:rFonts w:ascii="Arial" w:hAnsi="Arial" w:cs="Arial"/>
                <w:sz w:val="20"/>
                <w:szCs w:val="20"/>
              </w:rPr>
              <w:t>í,</w:t>
            </w:r>
            <w:r>
              <w:rPr>
                <w:rFonts w:ascii="Arial" w:hAnsi="Arial" w:cs="Arial"/>
                <w:sz w:val="20"/>
                <w:szCs w:val="20"/>
              </w:rPr>
              <w:t xml:space="preserve"> než </w:t>
            </w:r>
            <w:r w:rsidR="006B521C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budova pro rodinnou rekreaci, např. u </w:t>
            </w:r>
            <w:r w:rsidR="00EF3619">
              <w:rPr>
                <w:rFonts w:ascii="Arial" w:hAnsi="Arial" w:cs="Arial"/>
                <w:sz w:val="20"/>
                <w:szCs w:val="20"/>
              </w:rPr>
              <w:t xml:space="preserve">stavby zahradní chatky evidované v KN 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se způsobem využití jiná stavba</w:t>
            </w:r>
            <w:r>
              <w:rPr>
                <w:rFonts w:ascii="Arial" w:hAnsi="Arial" w:cs="Arial"/>
                <w:sz w:val="20"/>
                <w:szCs w:val="20"/>
              </w:rPr>
              <w:t xml:space="preserve"> zdaněné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 xml:space="preserve"> v předmětu daně budova pro rodinnou rekreaci</w:t>
            </w:r>
            <w:r>
              <w:rPr>
                <w:rFonts w:ascii="Arial" w:hAnsi="Arial" w:cs="Arial"/>
                <w:sz w:val="20"/>
                <w:szCs w:val="20"/>
              </w:rPr>
              <w:t>, dojde k</w:t>
            </w:r>
            <w:r w:rsidR="00FD1F76">
              <w:rPr>
                <w:rFonts w:ascii="Arial" w:hAnsi="Arial" w:cs="Arial"/>
                <w:sz w:val="20"/>
                <w:szCs w:val="20"/>
              </w:rPr>
              <w:t xml:space="preserve"> auto</w:t>
            </w:r>
            <w:r w:rsidR="00D700DD">
              <w:rPr>
                <w:rFonts w:ascii="Arial" w:hAnsi="Arial" w:cs="Arial"/>
                <w:sz w:val="20"/>
                <w:szCs w:val="20"/>
              </w:rPr>
              <w:t>ma</w:t>
            </w:r>
            <w:r w:rsidR="00FD1F76">
              <w:rPr>
                <w:rFonts w:ascii="Arial" w:hAnsi="Arial" w:cs="Arial"/>
                <w:sz w:val="20"/>
                <w:szCs w:val="20"/>
              </w:rPr>
              <w:t>tizované</w:t>
            </w:r>
            <w:r>
              <w:rPr>
                <w:rFonts w:ascii="Arial" w:hAnsi="Arial" w:cs="Arial"/>
                <w:sz w:val="20"/>
                <w:szCs w:val="20"/>
              </w:rPr>
              <w:t xml:space="preserve"> konverzi na předmět daně ostatní stavba „P“</w:t>
            </w:r>
            <w:r w:rsidR="00EF3619" w:rsidRPr="00E52F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1CF1" w:rsidRPr="00400A50" w14:paraId="44440624" w14:textId="77777777" w:rsidTr="00312E50">
        <w:trPr>
          <w:trHeight w:val="689"/>
        </w:trPr>
        <w:tc>
          <w:tcPr>
            <w:tcW w:w="7286" w:type="dxa"/>
            <w:tcBorders>
              <w:right w:val="single" w:sz="4" w:space="0" w:color="auto"/>
            </w:tcBorders>
          </w:tcPr>
          <w:p w14:paraId="08D587CC" w14:textId="3F835EE0" w:rsidR="00FD1CF1" w:rsidRPr="00E35619" w:rsidRDefault="00C35817" w:rsidP="0043432E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  <w:r w:rsidR="007A09E1" w:rsidRPr="005E2E1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Rozšíření osvobození </w:t>
            </w:r>
            <w:r w:rsidR="007A09E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od daně z pozemků a daně ze staveb a jednotek </w:t>
            </w:r>
            <w:r w:rsidR="007A09E1">
              <w:rPr>
                <w:rFonts w:ascii="Arial" w:hAnsi="Arial" w:cs="Arial"/>
                <w:sz w:val="20"/>
                <w:szCs w:val="20"/>
              </w:rPr>
              <w:t xml:space="preserve">Vlastník, jehož </w:t>
            </w:r>
            <w:r w:rsidR="007A09E1" w:rsidRPr="00E52FE2">
              <w:rPr>
                <w:rFonts w:ascii="Arial" w:hAnsi="Arial" w:cs="Arial"/>
                <w:sz w:val="20"/>
                <w:szCs w:val="20"/>
              </w:rPr>
              <w:t>pozemky, stavby či jednotky slouží zařízení služby péče o dítě v dětské skupině</w:t>
            </w:r>
            <w:r w:rsidR="007A09E1">
              <w:rPr>
                <w:rFonts w:ascii="Arial" w:hAnsi="Arial" w:cs="Arial"/>
                <w:sz w:val="20"/>
                <w:szCs w:val="20"/>
              </w:rPr>
              <w:t xml:space="preserve">, sociálnímu družstvu či pozemky slouží spolku zdravotně postižených občanů, může uplatnit nárok na nové osvobození v daňovém přiznání. U tohoto osvobození od daně z pozemků sloužících de facto veřejným účelům byla </w:t>
            </w:r>
            <w:r w:rsidR="00F74F3F">
              <w:rPr>
                <w:rFonts w:ascii="Arial" w:hAnsi="Arial" w:cs="Arial"/>
                <w:sz w:val="20"/>
                <w:szCs w:val="20"/>
              </w:rPr>
              <w:t xml:space="preserve">navíc </w:t>
            </w:r>
            <w:r w:rsidR="007A09E1">
              <w:rPr>
                <w:rFonts w:ascii="Arial" w:hAnsi="Arial" w:cs="Arial"/>
                <w:sz w:val="20"/>
                <w:szCs w:val="20"/>
              </w:rPr>
              <w:t>zrušena omezující podmínka, že pozemky nesmí být pronajaty, propachtovány či nesmí být užívány k podnikání.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75BE7" w14:textId="77777777" w:rsidR="00FD1CF1" w:rsidRPr="00CF0D4B" w:rsidRDefault="00FD1CF1" w:rsidP="00EF3619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00AC6428" w14:textId="06EAFA08" w:rsidR="00FD1CF1" w:rsidRPr="00CF0D4B" w:rsidRDefault="00035BF2" w:rsidP="00FD1CF1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  <w:r w:rsidR="00FD1CF1"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Změna sazby daně</w:t>
            </w:r>
          </w:p>
          <w:p w14:paraId="351D68A3" w14:textId="4E20FDCF" w:rsidR="00FD1CF1" w:rsidRPr="00CF0D4B" w:rsidRDefault="00035BF2" w:rsidP="0043432E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>távající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 xml:space="preserve"> poplatník</w:t>
            </w:r>
            <w:r>
              <w:rPr>
                <w:rFonts w:ascii="Arial" w:hAnsi="Arial" w:cs="Arial"/>
                <w:sz w:val="20"/>
                <w:szCs w:val="20"/>
              </w:rPr>
              <w:t>ů dojde k úpravě daně s ohledem na změny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 xml:space="preserve"> saz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 xml:space="preserve">b daně, popř. </w:t>
            </w:r>
            <w:r>
              <w:rPr>
                <w:rFonts w:ascii="Arial" w:hAnsi="Arial" w:cs="Arial"/>
                <w:sz w:val="20"/>
                <w:szCs w:val="20"/>
              </w:rPr>
              <w:t xml:space="preserve">změny 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>průměrn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 xml:space="preserve"> cen zemědělsk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 xml:space="preserve"> pozemk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 xml:space="preserve"> pro příslušn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 xml:space="preserve"> katastrální území</w:t>
            </w:r>
            <w:r w:rsidR="00C95EA7">
              <w:rPr>
                <w:rFonts w:ascii="Arial" w:hAnsi="Arial" w:cs="Arial"/>
                <w:sz w:val="20"/>
                <w:szCs w:val="20"/>
              </w:rPr>
              <w:t xml:space="preserve"> ve vazbě na novelu vyhlášky</w:t>
            </w:r>
            <w:r>
              <w:rPr>
                <w:rFonts w:ascii="Arial" w:hAnsi="Arial" w:cs="Arial"/>
                <w:sz w:val="20"/>
                <w:szCs w:val="20"/>
              </w:rPr>
              <w:t>, což je s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>tandardní postup při změně sazby daně</w:t>
            </w:r>
            <w:r w:rsidRPr="00035BF2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CE376A">
              <w:rPr>
                <w:rFonts w:ascii="Arial" w:hAnsi="Arial" w:cs="Arial"/>
                <w:sz w:val="20"/>
                <w:szCs w:val="20"/>
              </w:rPr>
              <w:t xml:space="preserve">změně </w:t>
            </w:r>
            <w:r w:rsidRPr="00035BF2">
              <w:rPr>
                <w:rFonts w:ascii="Arial" w:hAnsi="Arial" w:cs="Arial"/>
                <w:sz w:val="20"/>
                <w:szCs w:val="20"/>
              </w:rPr>
              <w:t>průměrné ceny zemědělského pozemku dle vyhlášky</w:t>
            </w:r>
            <w:r w:rsidR="00FD1CF1" w:rsidRPr="00035B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A09E1" w:rsidRPr="00400A50" w14:paraId="73F242BE" w14:textId="77777777" w:rsidTr="00312E50">
        <w:tc>
          <w:tcPr>
            <w:tcW w:w="7286" w:type="dxa"/>
            <w:tcBorders>
              <w:right w:val="single" w:sz="4" w:space="0" w:color="auto"/>
            </w:tcBorders>
          </w:tcPr>
          <w:p w14:paraId="54875209" w14:textId="5A29D0AA" w:rsidR="007A09E1" w:rsidRPr="005E2E12" w:rsidRDefault="00C35817" w:rsidP="007A09E1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  <w:r w:rsidR="00F74F3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-</w:t>
            </w:r>
            <w:r w:rsidR="007A09E1" w:rsidRPr="005E2E1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Rozšíření osvobození </w:t>
            </w:r>
            <w:r w:rsidR="007A09E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od daně z pozemků </w:t>
            </w:r>
          </w:p>
          <w:p w14:paraId="364B9BCA" w14:textId="66630F8A" w:rsidR="007A09E1" w:rsidRPr="00E52FE2" w:rsidRDefault="007A09E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Osvobození pozemků území zvláště chráněných podle předpisů o ochraně přírody a krajiny bylo rozšířeno o poz</w:t>
            </w:r>
            <w:r w:rsidRPr="00E52FE2">
              <w:rPr>
                <w:rFonts w:ascii="Arial" w:hAnsi="Arial" w:cs="Arial"/>
                <w:sz w:val="20"/>
                <w:szCs w:val="20"/>
              </w:rPr>
              <w:t>emky v národním parku v zóně přírodě blízké</w:t>
            </w:r>
            <w:r>
              <w:rPr>
                <w:rFonts w:ascii="Arial" w:hAnsi="Arial" w:cs="Arial"/>
                <w:sz w:val="20"/>
                <w:szCs w:val="20"/>
              </w:rPr>
              <w:t>. Poplatníci nárok na toto osvobození uplatní v daňovém přiznání.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6718C" w14:textId="77777777" w:rsidR="007A09E1" w:rsidRPr="00D54727" w:rsidRDefault="007A09E1" w:rsidP="007A09E1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559FDC90" w14:textId="0B233DFD" w:rsidR="007A09E1" w:rsidRDefault="007A09E1" w:rsidP="007A09E1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  <w:r w:rsidRPr="00D5472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Zrušením většiny bodů osvobození o odpadech dojde ke zdanění dosud osvobozovaných </w:t>
            </w:r>
            <w:r w:rsidRPr="00D5472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pozemk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</w:t>
            </w:r>
            <w:r w:rsidRPr="00D5472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a stav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</w:t>
            </w:r>
            <w:r w:rsidRPr="00D5472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b sloužící výlučně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odpadovému hospodářství </w:t>
            </w:r>
          </w:p>
          <w:p w14:paraId="0DA45234" w14:textId="17D9994D" w:rsidR="007A09E1" w:rsidRPr="00E52FE2" w:rsidRDefault="007A09E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stávajících poplatníků s přiznaným nárokem na </w:t>
            </w:r>
            <w:r w:rsidR="00CE376A">
              <w:rPr>
                <w:rFonts w:ascii="Arial" w:hAnsi="Arial" w:cs="Arial"/>
                <w:sz w:val="20"/>
                <w:szCs w:val="20"/>
              </w:rPr>
              <w:t xml:space="preserve">většinu bodů 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osvobození od daně z pozemků a </w:t>
            </w:r>
            <w:r>
              <w:rPr>
                <w:rFonts w:ascii="Arial" w:hAnsi="Arial" w:cs="Arial"/>
                <w:sz w:val="20"/>
                <w:szCs w:val="20"/>
              </w:rPr>
              <w:t xml:space="preserve">osvobození od daně 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ze staveb </w:t>
            </w:r>
            <w:r>
              <w:rPr>
                <w:rFonts w:ascii="Arial" w:hAnsi="Arial" w:cs="Arial"/>
                <w:sz w:val="20"/>
                <w:szCs w:val="20"/>
              </w:rPr>
              <w:t>a jednotek s vazbou na odpadové hospodářství dojde automatizovaně ke zrušení nároku na osvobození a stanovení daně</w:t>
            </w:r>
            <w:r w:rsidRPr="00E52F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A09E1" w:rsidRPr="00400A50" w14:paraId="4C153169" w14:textId="77777777" w:rsidTr="00312E50">
        <w:tc>
          <w:tcPr>
            <w:tcW w:w="7286" w:type="dxa"/>
            <w:tcBorders>
              <w:right w:val="single" w:sz="4" w:space="0" w:color="auto"/>
            </w:tcBorders>
          </w:tcPr>
          <w:p w14:paraId="6CA3E69C" w14:textId="0A42C3BC" w:rsidR="007A09E1" w:rsidRDefault="00C35817" w:rsidP="007A09E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9</w:t>
            </w:r>
            <w:r w:rsidR="007A09E1" w:rsidRPr="005E2E1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mezení o</w:t>
            </w:r>
            <w:r w:rsidR="007A09E1" w:rsidRPr="005E2E1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svobození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od daně z pozemků</w:t>
            </w:r>
          </w:p>
          <w:p w14:paraId="0F7A4FCC" w14:textId="7B8F448F" w:rsidR="007A09E1" w:rsidRPr="00E52FE2" w:rsidRDefault="007A09E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52FE2">
              <w:rPr>
                <w:rFonts w:ascii="Arial" w:hAnsi="Arial" w:cs="Arial"/>
                <w:sz w:val="20"/>
                <w:szCs w:val="20"/>
              </w:rPr>
              <w:t>oplatník</w:t>
            </w:r>
            <w:r w:rsidR="00C35817">
              <w:rPr>
                <w:rFonts w:ascii="Arial" w:hAnsi="Arial" w:cs="Arial"/>
                <w:sz w:val="20"/>
                <w:szCs w:val="20"/>
              </w:rPr>
              <w:t xml:space="preserve">, který </w:t>
            </w:r>
            <w:r w:rsidRPr="00E52FE2">
              <w:rPr>
                <w:rFonts w:ascii="Arial" w:hAnsi="Arial" w:cs="Arial"/>
                <w:sz w:val="20"/>
                <w:szCs w:val="20"/>
              </w:rPr>
              <w:t>vlastní pozemky, na nichž se nacházejí lesy hospodářské pod vlivem imisí, zařazené do pásma ohrožení „A a B“, evidované v KN v jiném druhu pozemku než lesní pozemek</w:t>
            </w:r>
            <w:r w:rsidR="00C35817">
              <w:rPr>
                <w:rFonts w:ascii="Arial" w:hAnsi="Arial" w:cs="Arial"/>
                <w:sz w:val="20"/>
                <w:szCs w:val="20"/>
              </w:rPr>
              <w:t xml:space="preserve">, je nově povinen podat daňové přiznání a přiznat daň bez nároku na osvobození, neboť nově </w:t>
            </w:r>
            <w:r w:rsidR="00CB1D74">
              <w:rPr>
                <w:rFonts w:ascii="Arial" w:hAnsi="Arial" w:cs="Arial"/>
                <w:sz w:val="20"/>
                <w:szCs w:val="20"/>
              </w:rPr>
              <w:t xml:space="preserve">lze nárok přiznat jen </w:t>
            </w:r>
            <w:r w:rsidR="00C35817">
              <w:rPr>
                <w:rFonts w:ascii="Arial" w:hAnsi="Arial" w:cs="Arial"/>
                <w:sz w:val="20"/>
                <w:szCs w:val="20"/>
              </w:rPr>
              <w:t>lesní</w:t>
            </w:r>
            <w:r w:rsidR="00CB1D74">
              <w:rPr>
                <w:rFonts w:ascii="Arial" w:hAnsi="Arial" w:cs="Arial"/>
                <w:sz w:val="20"/>
                <w:szCs w:val="20"/>
              </w:rPr>
              <w:t>m</w:t>
            </w:r>
            <w:r w:rsidR="00C35817">
              <w:rPr>
                <w:rFonts w:ascii="Arial" w:hAnsi="Arial" w:cs="Arial"/>
                <w:sz w:val="20"/>
                <w:szCs w:val="20"/>
              </w:rPr>
              <w:t xml:space="preserve"> pozemk</w:t>
            </w:r>
            <w:r w:rsidR="00CB1D74">
              <w:rPr>
                <w:rFonts w:ascii="Arial" w:hAnsi="Arial" w:cs="Arial"/>
                <w:sz w:val="20"/>
                <w:szCs w:val="20"/>
              </w:rPr>
              <w:t>ům</w:t>
            </w:r>
            <w:r w:rsidR="00C35817">
              <w:rPr>
                <w:rFonts w:ascii="Arial" w:hAnsi="Arial" w:cs="Arial"/>
                <w:sz w:val="20"/>
                <w:szCs w:val="20"/>
              </w:rPr>
              <w:t>, tzn. pozemk</w:t>
            </w:r>
            <w:r w:rsidR="00CB1D74">
              <w:rPr>
                <w:rFonts w:ascii="Arial" w:hAnsi="Arial" w:cs="Arial"/>
                <w:sz w:val="20"/>
                <w:szCs w:val="20"/>
              </w:rPr>
              <w:t>ům</w:t>
            </w:r>
            <w:r w:rsidR="00C35817">
              <w:rPr>
                <w:rFonts w:ascii="Arial" w:hAnsi="Arial" w:cs="Arial"/>
                <w:sz w:val="20"/>
                <w:szCs w:val="20"/>
              </w:rPr>
              <w:t xml:space="preserve"> evidovan</w:t>
            </w:r>
            <w:r w:rsidR="00CB1D74">
              <w:rPr>
                <w:rFonts w:ascii="Arial" w:hAnsi="Arial" w:cs="Arial"/>
                <w:sz w:val="20"/>
                <w:szCs w:val="20"/>
              </w:rPr>
              <w:t>ým</w:t>
            </w:r>
            <w:r w:rsidR="00C35817">
              <w:rPr>
                <w:rFonts w:ascii="Arial" w:hAnsi="Arial" w:cs="Arial"/>
                <w:sz w:val="20"/>
                <w:szCs w:val="20"/>
              </w:rPr>
              <w:t xml:space="preserve"> v KN v druhu lesní pozemek</w:t>
            </w:r>
            <w:r w:rsidR="00CB1D74">
              <w:rPr>
                <w:rFonts w:ascii="Arial" w:hAnsi="Arial" w:cs="Arial"/>
                <w:sz w:val="20"/>
                <w:szCs w:val="20"/>
              </w:rPr>
              <w:t>, na kterých se nacházejí imisní lesy „A a B“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E0151" w14:textId="77777777" w:rsidR="007A09E1" w:rsidRPr="00CF0D4B" w:rsidRDefault="007A09E1" w:rsidP="007A09E1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7A568816" w14:textId="4966608C" w:rsidR="007A09E1" w:rsidRPr="00CF0D4B" w:rsidRDefault="007A09E1" w:rsidP="007A09E1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Změna 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osvobození u vybraných pozemků dle obecně závazné vyhlášky vydané obcí (u FÚ pro K</w:t>
            </w:r>
            <w:r w:rsidR="004A624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rálovéhradecký kraj 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pouze obec Police nad Metují)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a zrušení povinnosti jeho uplatnění v daňovém přiznání poplatníky</w:t>
            </w:r>
          </w:p>
          <w:p w14:paraId="62540373" w14:textId="4728BE37" w:rsidR="007A09E1" w:rsidRPr="00E52FE2" w:rsidRDefault="007A09E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52FE2">
              <w:rPr>
                <w:rFonts w:ascii="Arial" w:hAnsi="Arial" w:cs="Arial"/>
                <w:sz w:val="20"/>
                <w:szCs w:val="20"/>
              </w:rPr>
              <w:t>távající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poplatník</w:t>
            </w:r>
            <w:r>
              <w:rPr>
                <w:rFonts w:ascii="Arial" w:hAnsi="Arial" w:cs="Arial"/>
                <w:sz w:val="20"/>
                <w:szCs w:val="20"/>
              </w:rPr>
              <w:t xml:space="preserve">ům, kterým byla daň z pozemků vyměřena, neboť neuplatnili 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nárok na osvobození od daně z pozemků orné půdy, chmelnic, vinic, ovocných sadů a trvalých travních </w:t>
            </w:r>
            <w:r w:rsidRPr="00B37A7B">
              <w:rPr>
                <w:rFonts w:ascii="Arial" w:hAnsi="Arial" w:cs="Arial"/>
                <w:sz w:val="20"/>
                <w:szCs w:val="20"/>
              </w:rPr>
              <w:t>porostů dle obecně závazné vyhlášky obc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37A7B">
              <w:rPr>
                <w:rFonts w:ascii="Arial" w:hAnsi="Arial" w:cs="Arial"/>
                <w:sz w:val="20"/>
                <w:szCs w:val="20"/>
              </w:rPr>
              <w:t xml:space="preserve">, správce daně </w:t>
            </w:r>
            <w:r>
              <w:rPr>
                <w:rFonts w:ascii="Arial" w:hAnsi="Arial" w:cs="Arial"/>
                <w:sz w:val="20"/>
                <w:szCs w:val="20"/>
              </w:rPr>
              <w:t xml:space="preserve">nově </w:t>
            </w:r>
            <w:r w:rsidRPr="00B37A7B">
              <w:rPr>
                <w:rFonts w:ascii="Arial" w:hAnsi="Arial" w:cs="Arial"/>
                <w:sz w:val="20"/>
                <w:szCs w:val="20"/>
              </w:rPr>
              <w:t>přizná nárok na osvobození v rozsahu obecně závazné vyhlášky</w:t>
            </w:r>
            <w:r w:rsidRPr="00582694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</w:tc>
      </w:tr>
      <w:tr w:rsidR="007A09E1" w:rsidRPr="00400A50" w14:paraId="4FC58DA0" w14:textId="77777777" w:rsidTr="00312E50">
        <w:tc>
          <w:tcPr>
            <w:tcW w:w="7286" w:type="dxa"/>
            <w:tcBorders>
              <w:right w:val="single" w:sz="4" w:space="0" w:color="auto"/>
            </w:tcBorders>
          </w:tcPr>
          <w:p w14:paraId="3151F278" w14:textId="6AA17176" w:rsidR="00345453" w:rsidRPr="005E2E12" w:rsidRDefault="00345453" w:rsidP="00345453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  <w:r w:rsidRPr="005E2E1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Změna o</w:t>
            </w:r>
            <w:r w:rsidRPr="005E2E1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svobození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od daně ze staveb a jednotek v</w:t>
            </w:r>
            <w:r w:rsidR="00212A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 vazbě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na energetický zákon</w:t>
            </w:r>
          </w:p>
          <w:p w14:paraId="61FD2F71" w14:textId="29A8FE96" w:rsidR="007A09E1" w:rsidRPr="00E52FE2" w:rsidRDefault="00345453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Nárok na </w:t>
            </w:r>
            <w:r w:rsidRPr="00E52FE2">
              <w:rPr>
                <w:rFonts w:ascii="Arial" w:hAnsi="Arial" w:cs="Arial"/>
                <w:sz w:val="20"/>
                <w:szCs w:val="20"/>
              </w:rPr>
              <w:t>osvoboz</w:t>
            </w:r>
            <w:r>
              <w:rPr>
                <w:rFonts w:ascii="Arial" w:hAnsi="Arial" w:cs="Arial"/>
                <w:sz w:val="20"/>
                <w:szCs w:val="20"/>
              </w:rPr>
              <w:t xml:space="preserve">ení zdanitelné stavby či zdanitelné jednotky </w:t>
            </w:r>
            <w:r w:rsidRPr="00E52FE2">
              <w:rPr>
                <w:rFonts w:ascii="Arial" w:hAnsi="Arial" w:cs="Arial"/>
                <w:sz w:val="20"/>
                <w:szCs w:val="20"/>
              </w:rPr>
              <w:t>přenosové, přepravní nebo distribuční soustavy nebo rozvodného tepelného zařízení podle energetického zákona</w:t>
            </w:r>
            <w:r>
              <w:rPr>
                <w:rFonts w:ascii="Arial" w:hAnsi="Arial" w:cs="Arial"/>
                <w:sz w:val="20"/>
                <w:szCs w:val="20"/>
              </w:rPr>
              <w:t xml:space="preserve"> nelze </w:t>
            </w:r>
            <w:r w:rsidR="00212A96">
              <w:rPr>
                <w:rFonts w:ascii="Arial" w:hAnsi="Arial" w:cs="Arial"/>
                <w:sz w:val="20"/>
                <w:szCs w:val="20"/>
              </w:rPr>
              <w:t xml:space="preserve">nově </w:t>
            </w:r>
            <w:r>
              <w:rPr>
                <w:rFonts w:ascii="Arial" w:hAnsi="Arial" w:cs="Arial"/>
                <w:sz w:val="20"/>
                <w:szCs w:val="20"/>
              </w:rPr>
              <w:t>přiznat celé nemovité věci</w:t>
            </w:r>
            <w:r w:rsidR="00212A96">
              <w:rPr>
                <w:rFonts w:ascii="Arial" w:hAnsi="Arial" w:cs="Arial"/>
                <w:sz w:val="20"/>
                <w:szCs w:val="20"/>
              </w:rPr>
              <w:t>, pokud tato slouží i jiné činnosti</w:t>
            </w:r>
            <w:r w:rsidR="00853D97">
              <w:rPr>
                <w:rFonts w:ascii="Arial" w:hAnsi="Arial" w:cs="Arial"/>
                <w:sz w:val="20"/>
                <w:szCs w:val="20"/>
              </w:rPr>
              <w:t>. P</w:t>
            </w:r>
            <w:r>
              <w:rPr>
                <w:rFonts w:ascii="Arial" w:hAnsi="Arial" w:cs="Arial"/>
                <w:sz w:val="20"/>
                <w:szCs w:val="20"/>
              </w:rPr>
              <w:t>oplatníci</w:t>
            </w:r>
            <w:r w:rsidR="00853D97">
              <w:rPr>
                <w:rFonts w:ascii="Arial" w:hAnsi="Arial" w:cs="Arial"/>
                <w:sz w:val="20"/>
                <w:szCs w:val="20"/>
              </w:rPr>
              <w:t>, kteří vlastní</w:t>
            </w:r>
            <w:r>
              <w:rPr>
                <w:rFonts w:ascii="Arial" w:hAnsi="Arial" w:cs="Arial"/>
                <w:sz w:val="20"/>
                <w:szCs w:val="20"/>
              </w:rPr>
              <w:t xml:space="preserve"> tuto stavbu užív</w:t>
            </w:r>
            <w:r w:rsidR="00853D97">
              <w:rPr>
                <w:rFonts w:ascii="Arial" w:hAnsi="Arial" w:cs="Arial"/>
                <w:sz w:val="20"/>
                <w:szCs w:val="20"/>
              </w:rPr>
              <w:t>anou</w:t>
            </w:r>
            <w:r>
              <w:rPr>
                <w:rFonts w:ascii="Arial" w:hAnsi="Arial" w:cs="Arial"/>
                <w:sz w:val="20"/>
                <w:szCs w:val="20"/>
              </w:rPr>
              <w:t xml:space="preserve"> také k </w:t>
            </w:r>
            <w:r w:rsidRPr="00E52FE2">
              <w:rPr>
                <w:rFonts w:ascii="Arial" w:hAnsi="Arial" w:cs="Arial"/>
                <w:sz w:val="20"/>
                <w:szCs w:val="20"/>
              </w:rPr>
              <w:t>jiné činnosti, např. stavb</w:t>
            </w:r>
            <w:r w:rsidR="00853D97">
              <w:rPr>
                <w:rFonts w:ascii="Arial" w:hAnsi="Arial" w:cs="Arial"/>
                <w:sz w:val="20"/>
                <w:szCs w:val="20"/>
              </w:rPr>
              <w:t>u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 výměníku, ve které je cyklo servis</w:t>
            </w:r>
            <w:r>
              <w:rPr>
                <w:rFonts w:ascii="Arial" w:hAnsi="Arial" w:cs="Arial"/>
                <w:sz w:val="20"/>
                <w:szCs w:val="20"/>
              </w:rPr>
              <w:t>, mají</w:t>
            </w:r>
            <w:r w:rsidR="00853D97">
              <w:rPr>
                <w:rFonts w:ascii="Arial" w:hAnsi="Arial" w:cs="Arial"/>
                <w:sz w:val="20"/>
                <w:szCs w:val="20"/>
              </w:rPr>
              <w:t xml:space="preserve"> nově</w:t>
            </w:r>
            <w:r>
              <w:rPr>
                <w:rFonts w:ascii="Arial" w:hAnsi="Arial" w:cs="Arial"/>
                <w:sz w:val="20"/>
                <w:szCs w:val="20"/>
              </w:rPr>
              <w:t xml:space="preserve"> povinnost podat daňové přiznání a nárok </w:t>
            </w:r>
            <w:r w:rsidR="00A60BFB">
              <w:rPr>
                <w:rFonts w:ascii="Arial" w:hAnsi="Arial" w:cs="Arial"/>
                <w:sz w:val="20"/>
                <w:szCs w:val="20"/>
              </w:rPr>
              <w:t xml:space="preserve">uplatnit v poměru </w:t>
            </w:r>
            <w:r w:rsidR="00853D97">
              <w:rPr>
                <w:rFonts w:ascii="Arial" w:hAnsi="Arial" w:cs="Arial"/>
                <w:color w:val="000000"/>
                <w:sz w:val="20"/>
                <w:szCs w:val="20"/>
              </w:rPr>
              <w:t>část</w:t>
            </w:r>
            <w:r w:rsidR="00A60B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853D97">
              <w:rPr>
                <w:rFonts w:ascii="Arial" w:hAnsi="Arial" w:cs="Arial"/>
                <w:color w:val="000000"/>
                <w:sz w:val="20"/>
                <w:szCs w:val="20"/>
              </w:rPr>
              <w:t xml:space="preserve"> podléhající osvobození.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96CB3" w14:textId="77777777" w:rsidR="007A09E1" w:rsidRPr="00CF0D4B" w:rsidRDefault="007A09E1" w:rsidP="007A09E1">
            <w:pPr>
              <w:spacing w:line="280" w:lineRule="exac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57" w:type="dxa"/>
            <w:tcBorders>
              <w:left w:val="single" w:sz="4" w:space="0" w:color="auto"/>
            </w:tcBorders>
          </w:tcPr>
          <w:p w14:paraId="43DF566E" w14:textId="3FC114E9" w:rsidR="007A09E1" w:rsidRPr="00CF0D4B" w:rsidRDefault="007A09E1" w:rsidP="007A09E1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10. Změna koeficientů dle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nově vydané </w:t>
            </w:r>
            <w:r w:rsidRPr="00CF0D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obecně závazné vyhlášky </w:t>
            </w:r>
          </w:p>
          <w:p w14:paraId="6A03A1BC" w14:textId="70B0880C" w:rsidR="007A09E1" w:rsidRDefault="007A09E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 působnosti FÚ </w:t>
            </w:r>
            <w:r>
              <w:rPr>
                <w:rFonts w:ascii="Arial" w:hAnsi="Arial" w:cs="Arial"/>
                <w:sz w:val="20"/>
                <w:szCs w:val="20"/>
              </w:rPr>
              <w:t xml:space="preserve">pro Královéhradecký kraj se změna koeficientů týká </w:t>
            </w:r>
            <w:r w:rsidRPr="00E52FE2">
              <w:rPr>
                <w:rFonts w:ascii="Arial" w:hAnsi="Arial" w:cs="Arial"/>
                <w:sz w:val="20"/>
                <w:szCs w:val="20"/>
              </w:rPr>
              <w:t>obce Bartošovice v Orlických horách, Bílý Újezd, Červený Kostelec, Choteč, Jánské Lázně a Rudník).</w:t>
            </w:r>
          </w:p>
          <w:p w14:paraId="4911ED33" w14:textId="545E0E92" w:rsidR="007A09E1" w:rsidRPr="00E52FE2" w:rsidRDefault="007A09E1" w:rsidP="0043432E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52FE2">
              <w:rPr>
                <w:rFonts w:ascii="Arial" w:hAnsi="Arial" w:cs="Arial"/>
                <w:sz w:val="20"/>
                <w:szCs w:val="20"/>
              </w:rPr>
              <w:t>távajícím poplatník</w:t>
            </w:r>
            <w:r>
              <w:rPr>
                <w:rFonts w:ascii="Arial" w:hAnsi="Arial" w:cs="Arial"/>
                <w:sz w:val="20"/>
                <w:szCs w:val="20"/>
              </w:rPr>
              <w:t xml:space="preserve">ům dotčeným novým nastavení koeficientů obecně závaznou vyhláškou </w:t>
            </w:r>
            <w:r w:rsidRPr="00E52FE2">
              <w:rPr>
                <w:rFonts w:ascii="Arial" w:hAnsi="Arial" w:cs="Arial"/>
                <w:sz w:val="20"/>
                <w:szCs w:val="20"/>
              </w:rPr>
              <w:t xml:space="preserve">obce </w:t>
            </w:r>
            <w:r>
              <w:rPr>
                <w:rFonts w:ascii="Arial" w:hAnsi="Arial" w:cs="Arial"/>
                <w:sz w:val="20"/>
                <w:szCs w:val="20"/>
              </w:rPr>
              <w:t xml:space="preserve">přepočte daň správce daně, což </w:t>
            </w:r>
            <w:r w:rsidRPr="00B33FD8">
              <w:rPr>
                <w:rFonts w:ascii="Arial" w:hAnsi="Arial" w:cs="Arial"/>
                <w:sz w:val="20"/>
                <w:szCs w:val="20"/>
              </w:rPr>
              <w:t>je standardní postup při změně koeficientů dle nově vydané obecně závazné vyhlášky.</w:t>
            </w:r>
          </w:p>
        </w:tc>
      </w:tr>
    </w:tbl>
    <w:p w14:paraId="19DB44D7" w14:textId="77777777" w:rsidR="0039562E" w:rsidRPr="00400A50" w:rsidRDefault="0039562E" w:rsidP="00EF3619">
      <w:pPr>
        <w:rPr>
          <w:b/>
          <w:bCs/>
        </w:rPr>
      </w:pPr>
    </w:p>
    <w:sectPr w:rsidR="0039562E" w:rsidRPr="00400A50" w:rsidSect="00BF607D">
      <w:pgSz w:w="16838" w:h="11906" w:orient="landscape" w:code="9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E13B0"/>
    <w:multiLevelType w:val="hybridMultilevel"/>
    <w:tmpl w:val="DFBA9CAC"/>
    <w:lvl w:ilvl="0" w:tplc="EE3E5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703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E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123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29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D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EA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6C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85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2E"/>
    <w:rsid w:val="00024AD3"/>
    <w:rsid w:val="000337A2"/>
    <w:rsid w:val="00035BF2"/>
    <w:rsid w:val="00170AE7"/>
    <w:rsid w:val="001C32DA"/>
    <w:rsid w:val="00212A96"/>
    <w:rsid w:val="00263703"/>
    <w:rsid w:val="0028288A"/>
    <w:rsid w:val="0028744D"/>
    <w:rsid w:val="0029262B"/>
    <w:rsid w:val="002E0FDC"/>
    <w:rsid w:val="00312E50"/>
    <w:rsid w:val="0032411B"/>
    <w:rsid w:val="00345453"/>
    <w:rsid w:val="003646BB"/>
    <w:rsid w:val="00390296"/>
    <w:rsid w:val="003951B7"/>
    <w:rsid w:val="0039562E"/>
    <w:rsid w:val="003C70B4"/>
    <w:rsid w:val="00400A50"/>
    <w:rsid w:val="0043432E"/>
    <w:rsid w:val="00436660"/>
    <w:rsid w:val="00446EC7"/>
    <w:rsid w:val="00460994"/>
    <w:rsid w:val="004A6248"/>
    <w:rsid w:val="004D52FB"/>
    <w:rsid w:val="004F10E5"/>
    <w:rsid w:val="0054214B"/>
    <w:rsid w:val="00575A6C"/>
    <w:rsid w:val="005765AA"/>
    <w:rsid w:val="00582694"/>
    <w:rsid w:val="0058505B"/>
    <w:rsid w:val="005B7001"/>
    <w:rsid w:val="005C5A8E"/>
    <w:rsid w:val="005D342D"/>
    <w:rsid w:val="005D447A"/>
    <w:rsid w:val="005E2E12"/>
    <w:rsid w:val="005E6E10"/>
    <w:rsid w:val="0060525E"/>
    <w:rsid w:val="0065681E"/>
    <w:rsid w:val="00665904"/>
    <w:rsid w:val="00673259"/>
    <w:rsid w:val="00673F7E"/>
    <w:rsid w:val="006B521C"/>
    <w:rsid w:val="006E15EC"/>
    <w:rsid w:val="00704BE7"/>
    <w:rsid w:val="00704FA6"/>
    <w:rsid w:val="00715268"/>
    <w:rsid w:val="00735B60"/>
    <w:rsid w:val="00785118"/>
    <w:rsid w:val="00790B5D"/>
    <w:rsid w:val="00792D02"/>
    <w:rsid w:val="007A09E1"/>
    <w:rsid w:val="00853D97"/>
    <w:rsid w:val="008E104F"/>
    <w:rsid w:val="009210F5"/>
    <w:rsid w:val="00956E5C"/>
    <w:rsid w:val="009A151B"/>
    <w:rsid w:val="00A23F2F"/>
    <w:rsid w:val="00A265BD"/>
    <w:rsid w:val="00A32081"/>
    <w:rsid w:val="00A60BFB"/>
    <w:rsid w:val="00AB782C"/>
    <w:rsid w:val="00AC45A2"/>
    <w:rsid w:val="00B17B5A"/>
    <w:rsid w:val="00B33FD8"/>
    <w:rsid w:val="00B37A7B"/>
    <w:rsid w:val="00B41531"/>
    <w:rsid w:val="00B4177E"/>
    <w:rsid w:val="00B66AE6"/>
    <w:rsid w:val="00B754B6"/>
    <w:rsid w:val="00B7621E"/>
    <w:rsid w:val="00B77A01"/>
    <w:rsid w:val="00B811BD"/>
    <w:rsid w:val="00B839C0"/>
    <w:rsid w:val="00BA7C33"/>
    <w:rsid w:val="00BD3D02"/>
    <w:rsid w:val="00BD47CC"/>
    <w:rsid w:val="00BE0A0D"/>
    <w:rsid w:val="00BF607D"/>
    <w:rsid w:val="00C05E1E"/>
    <w:rsid w:val="00C32599"/>
    <w:rsid w:val="00C333F6"/>
    <w:rsid w:val="00C35817"/>
    <w:rsid w:val="00C436FD"/>
    <w:rsid w:val="00C95EA7"/>
    <w:rsid w:val="00CB1D74"/>
    <w:rsid w:val="00CD6FA3"/>
    <w:rsid w:val="00CE0DB5"/>
    <w:rsid w:val="00CE376A"/>
    <w:rsid w:val="00CF0023"/>
    <w:rsid w:val="00CF0D4B"/>
    <w:rsid w:val="00CF2E26"/>
    <w:rsid w:val="00D03D3A"/>
    <w:rsid w:val="00D23262"/>
    <w:rsid w:val="00D403A7"/>
    <w:rsid w:val="00D54727"/>
    <w:rsid w:val="00D700DD"/>
    <w:rsid w:val="00D971D9"/>
    <w:rsid w:val="00DC3858"/>
    <w:rsid w:val="00DF512D"/>
    <w:rsid w:val="00E21160"/>
    <w:rsid w:val="00E35619"/>
    <w:rsid w:val="00E36EC5"/>
    <w:rsid w:val="00E43427"/>
    <w:rsid w:val="00E52FE2"/>
    <w:rsid w:val="00E82495"/>
    <w:rsid w:val="00E962DA"/>
    <w:rsid w:val="00EC2344"/>
    <w:rsid w:val="00EE34CB"/>
    <w:rsid w:val="00EF3619"/>
    <w:rsid w:val="00F03FEE"/>
    <w:rsid w:val="00F52509"/>
    <w:rsid w:val="00F63FE2"/>
    <w:rsid w:val="00F64D0D"/>
    <w:rsid w:val="00F74F3F"/>
    <w:rsid w:val="00F806FF"/>
    <w:rsid w:val="00FD1CF1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5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4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35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4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3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5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4497-B39D-4C1F-93DD-CE1802E0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1411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Jana Ing. (FÚ pro Královéhradecký kraj)</dc:creator>
  <cp:lastModifiedBy>OU Kvasiny - podatelna</cp:lastModifiedBy>
  <cp:revision>2</cp:revision>
  <cp:lastPrinted>2023-11-28T09:16:00Z</cp:lastPrinted>
  <dcterms:created xsi:type="dcterms:W3CDTF">2024-01-15T09:51:00Z</dcterms:created>
  <dcterms:modified xsi:type="dcterms:W3CDTF">2024-01-15T09:51:00Z</dcterms:modified>
</cp:coreProperties>
</file>